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D1249" w14:textId="56DD787D" w:rsidR="00177988" w:rsidRPr="001C3331" w:rsidRDefault="006C3101">
      <w:pPr>
        <w:spacing w:before="200" w:after="200"/>
        <w:jc w:val="center"/>
        <w:rPr>
          <w:sz w:val="36"/>
          <w:szCs w:val="36"/>
        </w:rPr>
      </w:pPr>
      <w:r w:rsidRPr="001C3331">
        <w:rPr>
          <w:b/>
          <w:bCs/>
          <w:sz w:val="36"/>
          <w:szCs w:val="36"/>
        </w:rPr>
        <w:t xml:space="preserve">دوري كمعلم </w:t>
      </w:r>
      <w:r w:rsidR="00E87685">
        <w:rPr>
          <w:rFonts w:hint="cs"/>
          <w:b/>
          <w:bCs/>
          <w:sz w:val="36"/>
          <w:szCs w:val="36"/>
        </w:rPr>
        <w:t>مختص</w:t>
      </w:r>
    </w:p>
    <w:p w14:paraId="1B8E17D9" w14:textId="14228195" w:rsidR="001C3331" w:rsidRPr="001C3331" w:rsidRDefault="001C3331" w:rsidP="001C3331">
      <w:pPr>
        <w:spacing w:before="160" w:after="160" w:line="360" w:lineRule="auto"/>
        <w:ind w:firstLine="720"/>
        <w:jc w:val="both"/>
        <w:rPr>
          <w:sz w:val="28"/>
          <w:szCs w:val="28"/>
        </w:rPr>
      </w:pPr>
      <w:r w:rsidRPr="001C3331">
        <w:rPr>
          <w:sz w:val="28"/>
          <w:szCs w:val="28"/>
        </w:rPr>
        <w:t>في إحدى حصص مادة الحاسوب، كنت أقف أمام طلاب الصف الثامن في مختبر تملؤه أضواء الشاشات وهمهمة مراوح التبريد، أشرح لهم كيف يُصمِّمون عروضاً تقديمية احترافية تتناول موضوع الذكاء الاصطناعي. استهللت الحصة بعرض لمعايير التصميم الجيد، وشملت وضوح الأفكار، وانسجام الألوان والخطوط، وبناء الشرائح وفق تسلسل منطقي، ثم قدّمت نموذجاً عملياً على الشاشة الكبيرة. وللوهلة الأولى، بدا كل شيء على ما يرام؛ طلاب يتابعون باهتمام، وأجهزة جاهزة، وموضوع يلامس عالم جيل نشأ في كنف التكنولوجيا. غير أنه حين انتقلنا إلى التطبيق العملي وبدأت أتجوّل بين المقاعد، لفت نظري طالبٌ في زاوية الفصل؛ لم تكن يداه تلمسان لوحة المفاتيح، وكان رأسه منحنياً ونظراته مثبّتة على الشاشة الخاملة، وبدت عليه علامات ضيق: عضُّ شفته السفلى، وحركة متكررة بيده اليمنى، وصمت غريب يلفّه وسط نشاط الفصل المتصاعد، أشبه بجدار غير مرئي يفصله عن بقية المشهد.</w:t>
      </w:r>
    </w:p>
    <w:p w14:paraId="7FD85501" w14:textId="77777777" w:rsidR="00177988" w:rsidRPr="001C3331" w:rsidRDefault="006C3101">
      <w:pPr>
        <w:spacing w:before="160" w:after="160" w:line="360" w:lineRule="auto"/>
        <w:jc w:val="both"/>
        <w:rPr>
          <w:sz w:val="28"/>
          <w:szCs w:val="28"/>
        </w:rPr>
      </w:pPr>
      <w:r w:rsidRPr="001C3331">
        <w:rPr>
          <w:sz w:val="28"/>
          <w:szCs w:val="28"/>
        </w:rPr>
        <w:t>استوقفني ذلك المشهد طويلاً، وتسلّل إليّ شعورٌ متشعّب لم أستطع تجاهله؛ فمن ناحية، تملّكني حزنٌ حقيقي على انعزاله وضيقه الواضح، ومن ناحية أخرى، شعرت بوخزة ذنب حادة لأنني لم أنتبه إليه منذ بداية الحصة، رغم أنه يجلس في زاوية يُفترض أن تكون في دائرة بصري. وكان لهذا الشعور بالذنب أثرٌ مزدوج؛ فهو من جهة دفعني إلى الاقتراب منه فوراً وتقديم الدعم الفردي، ومن جهة أخرى أطلق في ذهني سلسلة من التساؤلات النقدية التي لم تتوقف حتى بعد انتهاء الحصة. وحين سعيت إلى استحضار ما أعرفه عنه من ملفه الدراسي وتذكّرت تشخيصه باضطراب طيف التوحد، تحوّل ذلك الذنب إلى تساؤل مهني أعمق: هل كان تخطيطي لهذه الحصة كافياً لاستيعاب احتياجاته الفعلية؟ وهل أفلح دوري كمعلم في تهيئة بيئة تعلّم آمنة ومحفِّزة له؟ كان ثمة جانب إيجابي واحد تمسّكت به في تلك اللحظة: إدراكي أن الطالب يحمل فضولاً معرفياً حقيقياً واهتماماً واضحاً بالتكنولوجيا، وأن هذا الشغف كان يمثّل منطلقاً ثميناً لو أُحسن توظيفه، إلا أن القلق بشأن ما قصّرت فيه ظلّ يلحّ عليّ طوال ما تبقّى من الحصة ويدفعني نحو المساءلة الذاتية.</w:t>
      </w:r>
    </w:p>
    <w:p w14:paraId="2941F895" w14:textId="380A00CA" w:rsidR="00177988" w:rsidRPr="001C3331" w:rsidRDefault="006C3101">
      <w:pPr>
        <w:spacing w:before="160" w:after="160" w:line="360" w:lineRule="auto"/>
        <w:jc w:val="both"/>
        <w:rPr>
          <w:sz w:val="28"/>
          <w:szCs w:val="28"/>
        </w:rPr>
      </w:pPr>
      <w:r w:rsidRPr="001C3331">
        <w:rPr>
          <w:sz w:val="28"/>
          <w:szCs w:val="28"/>
        </w:rPr>
        <w:t xml:space="preserve">وحين أسعى إلى تقييم تلك الحصة بموضوعية، يتبيّن لي أن ثمة جانباً إيجابياً لا يمكن إغفاله، وهو أن المحتوى كان مناسباً لمستوى الطلاب ومرتبطاً باهتماماتهم، وأن النموذج العملي الذي قدّمته على الشاشة أتاح للأغلبية البدء بثقة ووضوح. بيد أن هذا الجانب الإيجابي يتضاءل أمام جملة من الإخفاقات الجوهرية؛ إذ تفاعل مع المهمة عددٌ محدود من الطلاب تفاعلاً كاملاً، فيما انسحب الطالب ذو طيف التوحد كلياً دون أن يُنجز أي خطوة، والأدهى أن ردود فعل بعض الزملاء تجاهه </w:t>
      </w:r>
      <w:r w:rsidRPr="001C3331">
        <w:rPr>
          <w:sz w:val="28"/>
          <w:szCs w:val="28"/>
        </w:rPr>
        <w:lastRenderedPageBreak/>
        <w:t>صرفت انتباههم عن المهمة الأساسية وخلقت توتراً اجتماعياً لم أكن مُهيَّأً للتعامل معه. وعلى الرغم من أن المعيار التاسع من معايير المعلمين يُلزم المعلمَ بإدارة بيئة التعلم بما يراعي الفروق الفردية ويُشجّع مشاركة جميع الطلاب (معايير المعلمين، الدبلوم المهني في التعليم، 2022)، فقد افتقر تخطيطي إلى استراتيجيات واضحة لدمج الطلاب ذوي الاحتياجات الخاصة؛ إذ لم تكن متطلبات الحصة الحسية والاجتماعية كالضوضاء والتفاعل الجماعي وتعدد الخطوات — مُكيَّفةً لتُتيح له المشاركة الفعلية رغم رغبته الواضحة في ذلك، وهو ما يكشف فجوةً حقيقية بين ما نُعلنه من مبادئ الشمول وما نُجسِّده فعلياً في الممارسة الصفية.</w:t>
      </w:r>
    </w:p>
    <w:p w14:paraId="62EA3149" w14:textId="77777777" w:rsidR="00177988" w:rsidRPr="001C3331" w:rsidRDefault="006C3101">
      <w:pPr>
        <w:spacing w:before="160" w:after="160" w:line="360" w:lineRule="auto"/>
        <w:jc w:val="both"/>
        <w:rPr>
          <w:sz w:val="28"/>
          <w:szCs w:val="28"/>
        </w:rPr>
      </w:pPr>
      <w:r w:rsidRPr="001C3331">
        <w:rPr>
          <w:sz w:val="28"/>
          <w:szCs w:val="28"/>
        </w:rPr>
        <w:t xml:space="preserve">وحين سعيت إلى تحليل ما جرى بعمق، تبيّن لي أن الإشكالية الجوهرية تتمحور حول دوري كمعلم مُخطِّط شمولي، لا مجرد ناقل للمعرفة. فقد أغفلت تحدياً أولياً يتمثّل في الإرهاق الحسي الناجم عن البيئة الصفية؛ إذ يُعدّ مختبر الحاسوب بضوء شاشاته الساطع وضوضاء مراوحه المتواصلة وحركة الطلاب المتقطعة بيئةً مُثيرة حسياً بامتياز. وقد أكّد </w:t>
      </w:r>
      <w:proofErr w:type="spellStart"/>
      <w:r w:rsidRPr="001C3331">
        <w:rPr>
          <w:sz w:val="28"/>
          <w:szCs w:val="28"/>
        </w:rPr>
        <w:t>Johnson</w:t>
      </w:r>
      <w:proofErr w:type="spellEnd"/>
      <w:r w:rsidRPr="001C3331">
        <w:rPr>
          <w:sz w:val="28"/>
          <w:szCs w:val="28"/>
        </w:rPr>
        <w:t xml:space="preserve"> </w:t>
      </w:r>
      <w:proofErr w:type="gramStart"/>
      <w:r w:rsidRPr="001C3331">
        <w:rPr>
          <w:sz w:val="28"/>
          <w:szCs w:val="28"/>
        </w:rPr>
        <w:t xml:space="preserve">و </w:t>
      </w:r>
      <w:proofErr w:type="spellStart"/>
      <w:r w:rsidRPr="001C3331">
        <w:rPr>
          <w:sz w:val="28"/>
          <w:szCs w:val="28"/>
        </w:rPr>
        <w:t>Malkovich</w:t>
      </w:r>
      <w:proofErr w:type="spellEnd"/>
      <w:proofErr w:type="gramEnd"/>
      <w:r w:rsidRPr="001C3331">
        <w:rPr>
          <w:sz w:val="28"/>
          <w:szCs w:val="28"/>
        </w:rPr>
        <w:t xml:space="preserve"> في دراستهما المعمّقة أن المدخلات الحسية المتراكمة في الفصول التقليدية تُسبّب إرهاقاً وإرباكاً لدى طلاب التوحد، مما يعيق قدرتهم على الانخراط في أي نشاط تعليمي حتى حين تتوفر لديهم الرغبة والدافعية (</w:t>
      </w:r>
      <w:proofErr w:type="spellStart"/>
      <w:r w:rsidRPr="001C3331">
        <w:rPr>
          <w:sz w:val="28"/>
          <w:szCs w:val="28"/>
        </w:rPr>
        <w:t>Johnson</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Malkovich</w:t>
      </w:r>
      <w:proofErr w:type="spellEnd"/>
      <w:r w:rsidRPr="001C3331">
        <w:rPr>
          <w:sz w:val="28"/>
          <w:szCs w:val="28"/>
        </w:rPr>
        <w:t xml:space="preserve"> 45). وهذا يعني أن البيئة الصفية ليست حيادية أبداً؛ فهي تُشكّل تجربة التعلم بقدر ما يفعل المحتوى ذاته، وربما أكثر بالنسبة للطلاب ذوي الحساسية الحسية المرتفعة. ولو أنني أخذت هذه الحقيقة بعين الاعتبار عند التخطيط، لكنت هيّأت محطة عمل في زاوية هادئة مع تعديل إعدادات الإضاءة قبل بدء الحصة، وهو إجراء بسيط كان كفيلاً بإزالة أحد أبرز العوائق أمام مشاركته.</w:t>
      </w:r>
    </w:p>
    <w:p w14:paraId="4D71B076" w14:textId="77777777" w:rsidR="00177988" w:rsidRPr="001C3331" w:rsidRDefault="006C3101">
      <w:pPr>
        <w:spacing w:before="160" w:after="160" w:line="360" w:lineRule="auto"/>
        <w:jc w:val="both"/>
        <w:rPr>
          <w:sz w:val="28"/>
          <w:szCs w:val="28"/>
        </w:rPr>
      </w:pPr>
      <w:r w:rsidRPr="001C3331">
        <w:rPr>
          <w:sz w:val="28"/>
          <w:szCs w:val="28"/>
        </w:rPr>
        <w:t xml:space="preserve">علاوةً على ذلك، كشف التحليل عن تحدٍّ ثانٍ يتعلق بغموض التعليمات الجماعية؛ فرغم شرحي التفصيلي لمعايير التصميم، جاءت التعليمات على شكل توجيهات عامة موجَّهة للصف بأسره، ولم تُترجَم إلى خطوات عملية بصرية واضحة يستطيع الطالب اتباعها باستقلالية تامة. وفي هذا الصدد، تُشير </w:t>
      </w:r>
      <w:proofErr w:type="spellStart"/>
      <w:r w:rsidRPr="001C3331">
        <w:rPr>
          <w:sz w:val="28"/>
          <w:szCs w:val="28"/>
        </w:rPr>
        <w:t>Anderson</w:t>
      </w:r>
      <w:proofErr w:type="spellEnd"/>
      <w:r w:rsidRPr="001C3331">
        <w:rPr>
          <w:sz w:val="28"/>
          <w:szCs w:val="28"/>
        </w:rPr>
        <w:t xml:space="preserve"> إلى أن اضطرابات الوظائف التنفيذية لدى طلاب التوحد تجعل بدء المهام الجديدة التي تتطلب تخطيطاً مسبقاً أمراً بالغ الصعوبة في غياب التفكيك والتبسيط الصريح (</w:t>
      </w:r>
      <w:proofErr w:type="spellStart"/>
      <w:r w:rsidRPr="001C3331">
        <w:rPr>
          <w:sz w:val="28"/>
          <w:szCs w:val="28"/>
        </w:rPr>
        <w:t>Anderson</w:t>
      </w:r>
      <w:proofErr w:type="spellEnd"/>
      <w:r w:rsidRPr="001C3331">
        <w:rPr>
          <w:sz w:val="28"/>
          <w:szCs w:val="28"/>
        </w:rPr>
        <w:t xml:space="preserve"> 92). ومما يُعزز هذا الطرح أن </w:t>
      </w:r>
      <w:proofErr w:type="spellStart"/>
      <w:r w:rsidRPr="001C3331">
        <w:rPr>
          <w:sz w:val="28"/>
          <w:szCs w:val="28"/>
        </w:rPr>
        <w:t>Johnson</w:t>
      </w:r>
      <w:proofErr w:type="spellEnd"/>
      <w:r w:rsidRPr="001C3331">
        <w:rPr>
          <w:sz w:val="28"/>
          <w:szCs w:val="28"/>
        </w:rPr>
        <w:t xml:space="preserve"> </w:t>
      </w:r>
      <w:proofErr w:type="gramStart"/>
      <w:r w:rsidRPr="001C3331">
        <w:rPr>
          <w:sz w:val="28"/>
          <w:szCs w:val="28"/>
        </w:rPr>
        <w:t xml:space="preserve">و </w:t>
      </w:r>
      <w:proofErr w:type="spellStart"/>
      <w:r w:rsidRPr="001C3331">
        <w:rPr>
          <w:sz w:val="28"/>
          <w:szCs w:val="28"/>
        </w:rPr>
        <w:t>Malkovich</w:t>
      </w:r>
      <w:proofErr w:type="spellEnd"/>
      <w:proofErr w:type="gramEnd"/>
      <w:r w:rsidRPr="001C3331">
        <w:rPr>
          <w:sz w:val="28"/>
          <w:szCs w:val="28"/>
        </w:rPr>
        <w:t xml:space="preserve"> يؤكدان أن تحويل التوجيهات العامة إلى خطوات عملية محددة يُمثّل عائقاً رئيسياً لهذه الفئة حين يُغفله المعلم (</w:t>
      </w:r>
      <w:proofErr w:type="spellStart"/>
      <w:r w:rsidRPr="001C3331">
        <w:rPr>
          <w:sz w:val="28"/>
          <w:szCs w:val="28"/>
        </w:rPr>
        <w:t>Johnson</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Malkovich</w:t>
      </w:r>
      <w:proofErr w:type="spellEnd"/>
      <w:r w:rsidRPr="001C3331">
        <w:rPr>
          <w:sz w:val="28"/>
          <w:szCs w:val="28"/>
        </w:rPr>
        <w:t xml:space="preserve"> 61). ولو أنني أعددت بطاقة بصرية مُرقّمة تتضمن الخطوات من البداية حتى النهاية بلغة بسيطة ومباشرة، لكان الطالب قادراً على الانطلاق باستقلالية دون الحاجة إلى طلب المساعدة أمام أقرانه. ويزيد على ذلك تحدٍّ ثالث يتمثّل في البُعد الاجتماعي؛ إذ إن </w:t>
      </w:r>
      <w:r w:rsidRPr="001C3331">
        <w:rPr>
          <w:sz w:val="28"/>
          <w:szCs w:val="28"/>
        </w:rPr>
        <w:lastRenderedPageBreak/>
        <w:t>طلب المساعدة علناً والخوف من عدم الإتقان أمام الزملاء يُفاقم القلق لدى الطالب ويدفعه نحو الانسحاب الصامت الذي يبدو من الخارج كأنه لامبالاة، في حين أنه في الحقيقة استجابة دفاعية لبيئة لم تُصمَّم لاستيعابه، وهو ما حدث بالضبط في تلك الحصة حين غاب أي مسار بديل للتواصل الهادئ بيني وبينه.</w:t>
      </w:r>
    </w:p>
    <w:p w14:paraId="1D8B6AC6" w14:textId="77777777" w:rsidR="00177988" w:rsidRPr="001C3331" w:rsidRDefault="006C3101">
      <w:pPr>
        <w:spacing w:before="160" w:after="160" w:line="360" w:lineRule="auto"/>
        <w:jc w:val="both"/>
        <w:rPr>
          <w:sz w:val="28"/>
          <w:szCs w:val="28"/>
        </w:rPr>
      </w:pPr>
      <w:r w:rsidRPr="001C3331">
        <w:rPr>
          <w:sz w:val="28"/>
          <w:szCs w:val="28"/>
        </w:rPr>
        <w:t xml:space="preserve">وعلى صعيد أشمل، يؤكد العمري أن التخطيط الفعّال يُمكِّن المعلم من فهم تنوّع احتياجات الطلاب وإزالة الحواجز التي تعترض تعلّمهم، وأن دمج استراتيجيات التعلم النشط المُعدَّلة يضمن مشاركةً شاملة لا تستثني أحداً (العمري 63). وتذهب نظرية التصميم الشامل للتعلم (UDL) التي طوّرها </w:t>
      </w:r>
      <w:proofErr w:type="spellStart"/>
      <w:r w:rsidRPr="001C3331">
        <w:rPr>
          <w:sz w:val="28"/>
          <w:szCs w:val="28"/>
        </w:rPr>
        <w:t>Rose</w:t>
      </w:r>
      <w:proofErr w:type="spellEnd"/>
      <w:r w:rsidRPr="001C3331">
        <w:rPr>
          <w:sz w:val="28"/>
          <w:szCs w:val="28"/>
        </w:rPr>
        <w:t xml:space="preserve"> </w:t>
      </w:r>
      <w:proofErr w:type="gramStart"/>
      <w:r w:rsidRPr="001C3331">
        <w:rPr>
          <w:sz w:val="28"/>
          <w:szCs w:val="28"/>
        </w:rPr>
        <w:t xml:space="preserve">و </w:t>
      </w:r>
      <w:proofErr w:type="spellStart"/>
      <w:r w:rsidRPr="001C3331">
        <w:rPr>
          <w:sz w:val="28"/>
          <w:szCs w:val="28"/>
        </w:rPr>
        <w:t>Meyer</w:t>
      </w:r>
      <w:proofErr w:type="spellEnd"/>
      <w:proofErr w:type="gramEnd"/>
      <w:r w:rsidRPr="001C3331">
        <w:rPr>
          <w:sz w:val="28"/>
          <w:szCs w:val="28"/>
        </w:rPr>
        <w:t xml:space="preserve"> إلى أبعد من ذلك، إذ تُقرّر أن التعليم الجيد لا يُعدِّل البيئة بعد حدوث الإخفاق، بل يُصمِّمها ابتداءً لتستوعب أقصى تنوّع ممكن في أساليب التلقّي والتعبير والانخراط (</w:t>
      </w:r>
      <w:proofErr w:type="spellStart"/>
      <w:r w:rsidRPr="001C3331">
        <w:rPr>
          <w:sz w:val="28"/>
          <w:szCs w:val="28"/>
        </w:rPr>
        <w:t>Rose</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Meyer</w:t>
      </w:r>
      <w:proofErr w:type="spellEnd"/>
      <w:r w:rsidRPr="001C3331">
        <w:rPr>
          <w:sz w:val="28"/>
          <w:szCs w:val="28"/>
        </w:rPr>
        <w:t xml:space="preserve"> 12)؛ وهذا يعني أن التكيّف اللحظي الذي قمت به حين جلست بجانب الطالب، رغم قيمته الإنسانية، لا يُغني عن التخطيط البنيوي المسبق الذي يجعل التكيّف غير ضروري أصلاً. وما أعادت إليّ هذه الحصة تذكيره هو الفرق الجوهري بين التضمين الشكلي وبين الدمج الحقيقي؛ فوجود الطالب داخل الفصل لا يعني أنه يتعلم، تماماً كما أن وجود الكرسي لا يعني أن ثمة راحة. ويُضيف الخطيب أن الدمج التعليمي الفعّال لأصحاب الهمم لا يتحقق إلا في بيئة تعلّم آمنة ومُهيَّأة تُراعي احتياجاتهم الحسية والاجتماعية والمعرفية على حدٍّ سواء (الخطيب 119). وهذا يعني أن مسؤولية المعلم المخطط تتجاوز إعداد الدرس لتشمل إعداد الفضاء الإنساني الذي يحدث فيه التعلم بكل أبعاده المرئية وغير المرئية.</w:t>
      </w:r>
    </w:p>
    <w:p w14:paraId="088BE17C" w14:textId="77777777" w:rsidR="00177988" w:rsidRPr="001C3331" w:rsidRDefault="006C3101">
      <w:pPr>
        <w:spacing w:before="160" w:after="160" w:line="360" w:lineRule="auto"/>
        <w:jc w:val="both"/>
        <w:rPr>
          <w:sz w:val="28"/>
          <w:szCs w:val="28"/>
        </w:rPr>
      </w:pPr>
      <w:r w:rsidRPr="001C3331">
        <w:rPr>
          <w:sz w:val="28"/>
          <w:szCs w:val="28"/>
        </w:rPr>
        <w:t>خلصت من هذا الموقف إلى جملة من الاستنتاجات أعادت تشكيل فهمي لدوري كمعلم على نحو جذري؛ فالتخطيط المسبق الشمولي القائم على الاطلاع الكافي على ملفات الطلاب ومتطلباتهم الفردية ليس ترفاً بيداغوجياً أو إجراءً اختيارياً، بل هو واجب مهني وأخلاقي لا تقبل المساومة عليه. كما تبيّن لي أن التفكير التأملي النقدي في الممارسة الصفية ليس رفاهية فكرية يمارسها المعلم في أوقات الفراغ، بل هو الأداة الوحيدة التي تُمكّنه من الانتقال من معلم يُدرِّس إلى معلم يُعلِّم بالمعنى الحقيقي. وتبيّن لي كذلك أن الدمج الحقيقي لذوي الاحتياجات الخاصة يستلزم توعية بقية الطلاب بطبيعة الفروق الفردية وتقبّلها، وهو ما يقع ضمن مسؤوليات المعلم التوجيهية لا الإدارية وحسب؛ فالطلاب يتعلمون من المعلم ليس فقط ما يشرحه، بل كيف يتعامل مع من يختلف ومع من يصمت ومع من يجلس في الزاوية. وفي غياب هذا التخطيط وهذه الثقافة الصفية، تتحوّل البيئة من فضاء للتعلم إلى مصدر للإرهاق والاستبعاد، وهو ما يجعل مراجعة الممارسات التعليمية المسبقة أمراً لا غنى عنه.</w:t>
      </w:r>
    </w:p>
    <w:p w14:paraId="79560452" w14:textId="0AD1FEFC" w:rsidR="00177988" w:rsidRPr="001C3331" w:rsidRDefault="006C3101">
      <w:pPr>
        <w:spacing w:before="160" w:after="160" w:line="360" w:lineRule="auto"/>
        <w:jc w:val="both"/>
        <w:rPr>
          <w:sz w:val="28"/>
          <w:szCs w:val="28"/>
        </w:rPr>
      </w:pPr>
      <w:r w:rsidRPr="001C3331">
        <w:rPr>
          <w:sz w:val="28"/>
          <w:szCs w:val="28"/>
        </w:rPr>
        <w:lastRenderedPageBreak/>
        <w:t xml:space="preserve">بناءً على هذه الاستنتاجات، رسمت لنفسي خطة عمل مستقبلية تنبثق مباشرةً من دروس هذه الحصة وتُعالج إخفاقاتها بصورة منهجية. فعلى صعيد التخطيط والتهيئة المسبقة، سأحرص قبل أي حصة على الاطلاع الشامل على ملفات الطلاب ذوي الاحتياجات الخاصة والتواصل المسبق مع أولياء أمورهم لمعرفة التحديات الحسية والاجتماعية الخاصة بكل طالب على حدة، وهو ما يُمليه المعيار التاسع من معايير المعلمين الذي ينصّ صراحةً على ضرورة مراعاة الاحتياجات الفردية في التخطيط (معايير المعلمين، الدبلوم المهني في التعليم، 2022). وسأُعدّ محطة عمل مُكيَّفة في زاوية هادئة مع تعديل إعدادات الإضاءة يدوياً والاستعانة بسماعات أذن لتخفيف ضوضاء المختبر، فضلاً عن إيجاد قناة تواصل هادئة كبطاقة إشارة بسيطة أو رمز متفق عليه مسبقاً يُمكِّن الطالب من إبلاغي بحالته دون الحاجة إلى الكلام أمام الجميع. أما على صعيد تصميم المهام والأنشطة، فسأعتمد تفكيك المهام إلى خطوات بصرية مطبوعة على بطاقات واضحة، مع توفير بدائل مرنة للتسليم كالتسجيل الصوتي أو الملفات النصية أو الرسم الرقمي، وهو ما يتسق مع إطار التصميم المرن الذي ينادي بتكييف البيئة والمحتوى وأساليب التقييم بما يتلاءم مع تنوع المتعلمين (الخوالدة وأبو فرحة 120). كما سأُضمِّن الأنشطة فرصاً للعمل الفردي المستقل قبل الانتقال إلى العمل الجماعي، إذ يُتيح ذلك للطالب تكوين أفكاره في سياق آمن قبل مشاركتها. وعلى صعيد بناء ثقافة الفصل الداعمة، سأُنظّم في مستهل العام الدراسي جلسات توعوية للطلاب حول قيمة الاختلاف وقبول الآخر، وسأُدرج أنشطة تعاونية يكون فيها الطالب ذو التوحد شريكاً فاعلاً لا متلقياً سلبياً، وسأسعى إلى التنسيق المستمر مع الإدارة المدرسية </w:t>
      </w:r>
      <w:proofErr w:type="spellStart"/>
      <w:r w:rsidRPr="001C3331">
        <w:rPr>
          <w:sz w:val="28"/>
          <w:szCs w:val="28"/>
        </w:rPr>
        <w:t>وأخصائيّي</w:t>
      </w:r>
      <w:proofErr w:type="spellEnd"/>
      <w:r w:rsidRPr="001C3331">
        <w:rPr>
          <w:sz w:val="28"/>
          <w:szCs w:val="28"/>
        </w:rPr>
        <w:t xml:space="preserve"> التوحد لتوفير موارد الدعم اللازمة. إن هذه التجربة أعادت إليّ الإدراك العميق بأن دور المعلم الحقيقي لا يُقاس بجودة الشرح وحده، بل بقدرته على أن يرى كل طالب في فصله ويُهيِّئ له مساراً نحو التعلم والنموّ مهما كانت التحديات. ذلك الطالب الذي جلس صامتاً في الزاوية لم يكن يقول لي لا أريد أن أتعلم؛ كان يقول لم أُهيَّأ لأتعلم هنا وبهذه الطريقة، وهذا الفارق هو جوهر كل ما يجب أن يتغيّر. وحين نُعيد النظر في تصميم حصصنا، لا نُعيد تصميم الدروس فحسب، بل نُعيد تصميم الرسالة التي نُرسلها لكل طالب: أنت تنتمي إلى هذا الفصل، وأنا هنا لأجعل التعلم ممكناً لك أنت بالذات.</w:t>
      </w:r>
    </w:p>
    <w:p w14:paraId="352FB275" w14:textId="275CE4BC" w:rsidR="001C3331" w:rsidRDefault="001C3331">
      <w:pPr>
        <w:spacing w:before="160" w:after="160" w:line="360" w:lineRule="auto"/>
        <w:jc w:val="both"/>
        <w:rPr>
          <w:sz w:val="28"/>
          <w:szCs w:val="28"/>
        </w:rPr>
      </w:pPr>
    </w:p>
    <w:p w14:paraId="31BFD890" w14:textId="77777777" w:rsidR="001C3331" w:rsidRPr="001C3331" w:rsidRDefault="001C3331">
      <w:pPr>
        <w:spacing w:before="160" w:after="160" w:line="360" w:lineRule="auto"/>
        <w:jc w:val="both"/>
        <w:rPr>
          <w:sz w:val="28"/>
          <w:szCs w:val="28"/>
        </w:rPr>
      </w:pPr>
    </w:p>
    <w:p w14:paraId="3F8F1200" w14:textId="77777777" w:rsidR="001C3331" w:rsidRPr="001C3331" w:rsidRDefault="001C3331">
      <w:pPr>
        <w:spacing w:before="160" w:after="160" w:line="360" w:lineRule="auto"/>
        <w:jc w:val="both"/>
        <w:rPr>
          <w:sz w:val="28"/>
          <w:szCs w:val="28"/>
        </w:rPr>
      </w:pPr>
    </w:p>
    <w:p w14:paraId="73F0B96B" w14:textId="77777777" w:rsidR="00177988" w:rsidRPr="001C3331" w:rsidRDefault="006C3101" w:rsidP="001C3331">
      <w:pPr>
        <w:spacing w:before="600" w:after="300"/>
        <w:rPr>
          <w:sz w:val="28"/>
          <w:szCs w:val="28"/>
        </w:rPr>
      </w:pPr>
      <w:r w:rsidRPr="001C3331">
        <w:rPr>
          <w:b/>
          <w:bCs/>
          <w:sz w:val="28"/>
          <w:szCs w:val="28"/>
        </w:rPr>
        <w:lastRenderedPageBreak/>
        <w:t>قائمة المراجع (MLA)</w:t>
      </w:r>
    </w:p>
    <w:p w14:paraId="750632FB" w14:textId="77777777" w:rsidR="00177988" w:rsidRPr="001C3331" w:rsidRDefault="006C3101" w:rsidP="001C3331">
      <w:pPr>
        <w:spacing w:after="200"/>
        <w:ind w:hanging="720"/>
        <w:jc w:val="both"/>
        <w:rPr>
          <w:sz w:val="28"/>
          <w:szCs w:val="28"/>
        </w:rPr>
      </w:pPr>
      <w:r w:rsidRPr="001C3331">
        <w:rPr>
          <w:sz w:val="28"/>
          <w:szCs w:val="28"/>
        </w:rPr>
        <w:t>الخطيب، جمال. التربية الخاصة وأصحاب الهمم: استراتيجيات الدمج. دار اليازوري، 2018.</w:t>
      </w:r>
    </w:p>
    <w:p w14:paraId="09DEC3CB" w14:textId="77777777" w:rsidR="00177988" w:rsidRPr="001C3331" w:rsidRDefault="006C3101" w:rsidP="001C3331">
      <w:pPr>
        <w:spacing w:after="200"/>
        <w:ind w:hanging="720"/>
        <w:jc w:val="both"/>
        <w:rPr>
          <w:sz w:val="28"/>
          <w:szCs w:val="28"/>
        </w:rPr>
      </w:pPr>
      <w:r w:rsidRPr="001C3331">
        <w:rPr>
          <w:sz w:val="28"/>
          <w:szCs w:val="28"/>
        </w:rPr>
        <w:t>الخوالدة، أحمد، وسناء أبو فرحة. "تصميم بيئات تعلّم مرنة لذوي التوحد في المدارس الريفية." مجلة التربية الحديثة، مجلد 30، عدد 4، 2023، ص 112-130.</w:t>
      </w:r>
    </w:p>
    <w:p w14:paraId="4209F8EB" w14:textId="77777777" w:rsidR="00177988" w:rsidRPr="001C3331" w:rsidRDefault="006C3101" w:rsidP="001C3331">
      <w:pPr>
        <w:spacing w:after="200"/>
        <w:ind w:hanging="720"/>
        <w:jc w:val="both"/>
        <w:rPr>
          <w:sz w:val="28"/>
          <w:szCs w:val="28"/>
        </w:rPr>
      </w:pPr>
      <w:r w:rsidRPr="001C3331">
        <w:rPr>
          <w:sz w:val="28"/>
          <w:szCs w:val="28"/>
        </w:rPr>
        <w:t>العمري، خالد. "استراتيجيات التعلم النشط في الصفوف الدامجة: دليل عملي." مجلة التربية المعاصرة، مجلد 15، عدد 3، 2022، ص 56-78.</w:t>
      </w:r>
    </w:p>
    <w:p w14:paraId="139F35BA" w14:textId="77777777" w:rsidR="00177988" w:rsidRPr="001C3331" w:rsidRDefault="006C3101" w:rsidP="001C3331">
      <w:pPr>
        <w:spacing w:after="200"/>
        <w:jc w:val="both"/>
        <w:rPr>
          <w:sz w:val="28"/>
          <w:szCs w:val="28"/>
        </w:rPr>
      </w:pPr>
      <w:r w:rsidRPr="001C3331">
        <w:rPr>
          <w:sz w:val="28"/>
          <w:szCs w:val="28"/>
        </w:rPr>
        <w:t>معايير المعلمين، الدبلوم المهني في التعليم. 2022.</w:t>
      </w:r>
    </w:p>
    <w:p w14:paraId="5DDCD8B1" w14:textId="69005AC9" w:rsidR="00177988" w:rsidRPr="001C3331" w:rsidRDefault="006C3101" w:rsidP="001C3331">
      <w:pPr>
        <w:bidi w:val="0"/>
        <w:spacing w:after="200"/>
        <w:ind w:hanging="720"/>
        <w:jc w:val="both"/>
        <w:rPr>
          <w:sz w:val="28"/>
          <w:szCs w:val="28"/>
          <w:rtl w:val="0"/>
          <w:lang w:bidi="ar-JO"/>
        </w:rPr>
      </w:pPr>
      <w:proofErr w:type="spellStart"/>
      <w:r w:rsidRPr="001C3331">
        <w:rPr>
          <w:sz w:val="28"/>
          <w:szCs w:val="28"/>
        </w:rPr>
        <w:t>Anderson</w:t>
      </w:r>
      <w:proofErr w:type="spellEnd"/>
      <w:r w:rsidRPr="001C3331">
        <w:rPr>
          <w:sz w:val="28"/>
          <w:szCs w:val="28"/>
        </w:rPr>
        <w:t xml:space="preserve">, </w:t>
      </w:r>
      <w:proofErr w:type="spellStart"/>
      <w:r w:rsidRPr="001C3331">
        <w:rPr>
          <w:sz w:val="28"/>
          <w:szCs w:val="28"/>
        </w:rPr>
        <w:t>Laura</w:t>
      </w:r>
      <w:proofErr w:type="spellEnd"/>
      <w:r w:rsidRPr="001C3331">
        <w:rPr>
          <w:sz w:val="28"/>
          <w:szCs w:val="28"/>
        </w:rPr>
        <w:t>. "</w:t>
      </w:r>
      <w:proofErr w:type="spellStart"/>
      <w:r w:rsidRPr="001C3331">
        <w:rPr>
          <w:sz w:val="28"/>
          <w:szCs w:val="28"/>
        </w:rPr>
        <w:t>Executive</w:t>
      </w:r>
      <w:proofErr w:type="spellEnd"/>
      <w:r w:rsidRPr="001C3331">
        <w:rPr>
          <w:sz w:val="28"/>
          <w:szCs w:val="28"/>
        </w:rPr>
        <w:t xml:space="preserve"> </w:t>
      </w:r>
      <w:proofErr w:type="spellStart"/>
      <w:r w:rsidRPr="001C3331">
        <w:rPr>
          <w:sz w:val="28"/>
          <w:szCs w:val="28"/>
        </w:rPr>
        <w:t>Function</w:t>
      </w:r>
      <w:proofErr w:type="spellEnd"/>
      <w:r w:rsidRPr="001C3331">
        <w:rPr>
          <w:sz w:val="28"/>
          <w:szCs w:val="28"/>
        </w:rPr>
        <w:t xml:space="preserve"> </w:t>
      </w:r>
      <w:proofErr w:type="spellStart"/>
      <w:r w:rsidRPr="001C3331">
        <w:rPr>
          <w:sz w:val="28"/>
          <w:szCs w:val="28"/>
        </w:rPr>
        <w:t>Difficulties</w:t>
      </w:r>
      <w:proofErr w:type="spellEnd"/>
      <w:r w:rsidRPr="001C3331">
        <w:rPr>
          <w:sz w:val="28"/>
          <w:szCs w:val="28"/>
        </w:rPr>
        <w:t xml:space="preserve"> </w:t>
      </w:r>
      <w:proofErr w:type="spellStart"/>
      <w:r w:rsidRPr="001C3331">
        <w:rPr>
          <w:sz w:val="28"/>
          <w:szCs w:val="28"/>
        </w:rPr>
        <w:t>in</w:t>
      </w:r>
      <w:proofErr w:type="spellEnd"/>
      <w:r w:rsidRPr="001C3331">
        <w:rPr>
          <w:sz w:val="28"/>
          <w:szCs w:val="28"/>
        </w:rPr>
        <w:t xml:space="preserve"> </w:t>
      </w:r>
      <w:proofErr w:type="spellStart"/>
      <w:r w:rsidRPr="001C3331">
        <w:rPr>
          <w:sz w:val="28"/>
          <w:szCs w:val="28"/>
        </w:rPr>
        <w:t>Students</w:t>
      </w:r>
      <w:proofErr w:type="spellEnd"/>
      <w:r w:rsidRPr="001C3331">
        <w:rPr>
          <w:sz w:val="28"/>
          <w:szCs w:val="28"/>
        </w:rPr>
        <w:t xml:space="preserve"> </w:t>
      </w:r>
      <w:proofErr w:type="spellStart"/>
      <w:r w:rsidRPr="001C3331">
        <w:rPr>
          <w:sz w:val="28"/>
          <w:szCs w:val="28"/>
        </w:rPr>
        <w:t>with</w:t>
      </w:r>
      <w:proofErr w:type="spellEnd"/>
      <w:r w:rsidRPr="001C3331">
        <w:rPr>
          <w:sz w:val="28"/>
          <w:szCs w:val="28"/>
        </w:rPr>
        <w:t xml:space="preserve"> </w:t>
      </w:r>
      <w:proofErr w:type="spellStart"/>
      <w:r w:rsidRPr="001C3331">
        <w:rPr>
          <w:sz w:val="28"/>
          <w:szCs w:val="28"/>
        </w:rPr>
        <w:t>Autism</w:t>
      </w:r>
      <w:proofErr w:type="spellEnd"/>
      <w:r w:rsidRPr="001C3331">
        <w:rPr>
          <w:sz w:val="28"/>
          <w:szCs w:val="28"/>
        </w:rPr>
        <w:t xml:space="preserve"> </w:t>
      </w:r>
      <w:proofErr w:type="spellStart"/>
      <w:r w:rsidRPr="001C3331">
        <w:rPr>
          <w:sz w:val="28"/>
          <w:szCs w:val="28"/>
        </w:rPr>
        <w:t>Spectrum</w:t>
      </w:r>
      <w:proofErr w:type="spellEnd"/>
      <w:r w:rsidRPr="001C3331">
        <w:rPr>
          <w:sz w:val="28"/>
          <w:szCs w:val="28"/>
        </w:rPr>
        <w:t xml:space="preserve"> </w:t>
      </w:r>
      <w:proofErr w:type="spellStart"/>
      <w:r w:rsidRPr="001C3331">
        <w:rPr>
          <w:sz w:val="28"/>
          <w:szCs w:val="28"/>
        </w:rPr>
        <w:t>Disorder</w:t>
      </w:r>
      <w:proofErr w:type="spellEnd"/>
      <w:r w:rsidRPr="001C3331">
        <w:rPr>
          <w:sz w:val="28"/>
          <w:szCs w:val="28"/>
        </w:rPr>
        <w:t xml:space="preserve">: </w:t>
      </w:r>
      <w:proofErr w:type="spellStart"/>
      <w:r w:rsidRPr="001C3331">
        <w:rPr>
          <w:sz w:val="28"/>
          <w:szCs w:val="28"/>
        </w:rPr>
        <w:t>Implications</w:t>
      </w:r>
      <w:proofErr w:type="spellEnd"/>
      <w:r w:rsidRPr="001C3331">
        <w:rPr>
          <w:sz w:val="28"/>
          <w:szCs w:val="28"/>
        </w:rPr>
        <w:t xml:space="preserve"> </w:t>
      </w:r>
      <w:proofErr w:type="spellStart"/>
      <w:r w:rsidRPr="001C3331">
        <w:rPr>
          <w:sz w:val="28"/>
          <w:szCs w:val="28"/>
        </w:rPr>
        <w:t>for</w:t>
      </w:r>
      <w:proofErr w:type="spellEnd"/>
      <w:r w:rsidRPr="001C3331">
        <w:rPr>
          <w:sz w:val="28"/>
          <w:szCs w:val="28"/>
        </w:rPr>
        <w:t xml:space="preserve"> </w:t>
      </w:r>
      <w:proofErr w:type="spellStart"/>
      <w:r w:rsidRPr="001C3331">
        <w:rPr>
          <w:sz w:val="28"/>
          <w:szCs w:val="28"/>
        </w:rPr>
        <w:t>Classroom</w:t>
      </w:r>
      <w:proofErr w:type="spellEnd"/>
      <w:r w:rsidRPr="001C3331">
        <w:rPr>
          <w:sz w:val="28"/>
          <w:szCs w:val="28"/>
        </w:rPr>
        <w:t xml:space="preserve"> </w:t>
      </w:r>
      <w:proofErr w:type="spellStart"/>
      <w:r w:rsidRPr="001C3331">
        <w:rPr>
          <w:sz w:val="28"/>
          <w:szCs w:val="28"/>
        </w:rPr>
        <w:t>Practice</w:t>
      </w:r>
      <w:proofErr w:type="spellEnd"/>
      <w:r w:rsidRPr="001C3331">
        <w:rPr>
          <w:sz w:val="28"/>
          <w:szCs w:val="28"/>
        </w:rPr>
        <w:t xml:space="preserve">." </w:t>
      </w:r>
      <w:proofErr w:type="spellStart"/>
      <w:r w:rsidRPr="001C3331">
        <w:rPr>
          <w:sz w:val="28"/>
          <w:szCs w:val="28"/>
        </w:rPr>
        <w:t>Journal</w:t>
      </w:r>
      <w:proofErr w:type="spellEnd"/>
      <w:r w:rsidRPr="001C3331">
        <w:rPr>
          <w:sz w:val="28"/>
          <w:szCs w:val="28"/>
        </w:rPr>
        <w:t xml:space="preserve"> </w:t>
      </w:r>
      <w:proofErr w:type="spellStart"/>
      <w:r w:rsidRPr="001C3331">
        <w:rPr>
          <w:sz w:val="28"/>
          <w:szCs w:val="28"/>
        </w:rPr>
        <w:t>of</w:t>
      </w:r>
      <w:proofErr w:type="spellEnd"/>
      <w:r w:rsidRPr="001C3331">
        <w:rPr>
          <w:sz w:val="28"/>
          <w:szCs w:val="28"/>
        </w:rPr>
        <w:t xml:space="preserve"> </w:t>
      </w:r>
      <w:proofErr w:type="spellStart"/>
      <w:r w:rsidRPr="001C3331">
        <w:rPr>
          <w:sz w:val="28"/>
          <w:szCs w:val="28"/>
        </w:rPr>
        <w:t>Special</w:t>
      </w:r>
      <w:proofErr w:type="spellEnd"/>
      <w:r w:rsidRPr="001C3331">
        <w:rPr>
          <w:sz w:val="28"/>
          <w:szCs w:val="28"/>
        </w:rPr>
        <w:t xml:space="preserve"> </w:t>
      </w:r>
      <w:proofErr w:type="spellStart"/>
      <w:r w:rsidRPr="001C3331">
        <w:rPr>
          <w:sz w:val="28"/>
          <w:szCs w:val="28"/>
        </w:rPr>
        <w:t>Education</w:t>
      </w:r>
      <w:proofErr w:type="spellEnd"/>
      <w:r w:rsidRPr="001C3331">
        <w:rPr>
          <w:sz w:val="28"/>
          <w:szCs w:val="28"/>
        </w:rPr>
        <w:t xml:space="preserve">, </w:t>
      </w:r>
      <w:proofErr w:type="spellStart"/>
      <w:r w:rsidRPr="001C3331">
        <w:rPr>
          <w:sz w:val="28"/>
          <w:szCs w:val="28"/>
        </w:rPr>
        <w:t>vol</w:t>
      </w:r>
      <w:proofErr w:type="spellEnd"/>
      <w:r w:rsidRPr="001C3331">
        <w:rPr>
          <w:sz w:val="28"/>
          <w:szCs w:val="28"/>
        </w:rPr>
        <w:t xml:space="preserve">. 54, </w:t>
      </w:r>
      <w:proofErr w:type="spellStart"/>
      <w:r w:rsidRPr="001C3331">
        <w:rPr>
          <w:sz w:val="28"/>
          <w:szCs w:val="28"/>
        </w:rPr>
        <w:t>no</w:t>
      </w:r>
      <w:proofErr w:type="spellEnd"/>
      <w:r w:rsidRPr="001C3331">
        <w:rPr>
          <w:sz w:val="28"/>
          <w:szCs w:val="28"/>
        </w:rPr>
        <w:t xml:space="preserve">. 2, 2020, </w:t>
      </w:r>
      <w:proofErr w:type="spellStart"/>
      <w:r w:rsidRPr="001C3331">
        <w:rPr>
          <w:sz w:val="28"/>
          <w:szCs w:val="28"/>
        </w:rPr>
        <w:t>pp</w:t>
      </w:r>
      <w:proofErr w:type="spellEnd"/>
      <w:r w:rsidRPr="001C3331">
        <w:rPr>
          <w:sz w:val="28"/>
          <w:szCs w:val="28"/>
        </w:rPr>
        <w:t>. 88-101</w:t>
      </w:r>
      <w:r w:rsidR="00283306">
        <w:rPr>
          <w:sz w:val="28"/>
          <w:szCs w:val="28"/>
          <w:rtl w:val="0"/>
          <w:lang w:bidi="ar-JO"/>
        </w:rPr>
        <w:t>.</w:t>
      </w:r>
    </w:p>
    <w:p w14:paraId="7C71DA02" w14:textId="53A39FA0" w:rsidR="00177988" w:rsidRPr="001C3331" w:rsidRDefault="006C3101" w:rsidP="001C3331">
      <w:pPr>
        <w:bidi w:val="0"/>
        <w:spacing w:after="200"/>
        <w:ind w:hanging="720"/>
        <w:jc w:val="both"/>
        <w:rPr>
          <w:sz w:val="28"/>
          <w:szCs w:val="28"/>
          <w:rtl w:val="0"/>
        </w:rPr>
      </w:pPr>
      <w:proofErr w:type="spellStart"/>
      <w:r w:rsidRPr="001C3331">
        <w:rPr>
          <w:sz w:val="28"/>
          <w:szCs w:val="28"/>
        </w:rPr>
        <w:t>Johnson</w:t>
      </w:r>
      <w:proofErr w:type="spellEnd"/>
      <w:r w:rsidRPr="001C3331">
        <w:rPr>
          <w:sz w:val="28"/>
          <w:szCs w:val="28"/>
        </w:rPr>
        <w:t xml:space="preserve">, </w:t>
      </w:r>
      <w:proofErr w:type="spellStart"/>
      <w:r w:rsidRPr="001C3331">
        <w:rPr>
          <w:sz w:val="28"/>
          <w:szCs w:val="28"/>
        </w:rPr>
        <w:t>Mark</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Rachel</w:t>
      </w:r>
      <w:proofErr w:type="spellEnd"/>
      <w:r w:rsidRPr="001C3331">
        <w:rPr>
          <w:sz w:val="28"/>
          <w:szCs w:val="28"/>
        </w:rPr>
        <w:t xml:space="preserve"> </w:t>
      </w:r>
      <w:proofErr w:type="spellStart"/>
      <w:r w:rsidRPr="001C3331">
        <w:rPr>
          <w:sz w:val="28"/>
          <w:szCs w:val="28"/>
        </w:rPr>
        <w:t>Malkovich</w:t>
      </w:r>
      <w:proofErr w:type="spellEnd"/>
      <w:r w:rsidRPr="001C3331">
        <w:rPr>
          <w:sz w:val="28"/>
          <w:szCs w:val="28"/>
        </w:rPr>
        <w:t xml:space="preserve">. </w:t>
      </w:r>
      <w:proofErr w:type="spellStart"/>
      <w:r w:rsidRPr="001C3331">
        <w:rPr>
          <w:sz w:val="28"/>
          <w:szCs w:val="28"/>
        </w:rPr>
        <w:t>Sensory</w:t>
      </w:r>
      <w:proofErr w:type="spellEnd"/>
      <w:r w:rsidRPr="001C3331">
        <w:rPr>
          <w:sz w:val="28"/>
          <w:szCs w:val="28"/>
        </w:rPr>
        <w:t xml:space="preserve"> </w:t>
      </w:r>
      <w:proofErr w:type="spellStart"/>
      <w:r w:rsidRPr="001C3331">
        <w:rPr>
          <w:sz w:val="28"/>
          <w:szCs w:val="28"/>
        </w:rPr>
        <w:t>Processing</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Social</w:t>
      </w:r>
      <w:proofErr w:type="spellEnd"/>
      <w:r w:rsidRPr="001C3331">
        <w:rPr>
          <w:sz w:val="28"/>
          <w:szCs w:val="28"/>
        </w:rPr>
        <w:t xml:space="preserve"> </w:t>
      </w:r>
      <w:proofErr w:type="spellStart"/>
      <w:r w:rsidRPr="001C3331">
        <w:rPr>
          <w:sz w:val="28"/>
          <w:szCs w:val="28"/>
        </w:rPr>
        <w:t>Challenges</w:t>
      </w:r>
      <w:proofErr w:type="spellEnd"/>
      <w:r w:rsidRPr="001C3331">
        <w:rPr>
          <w:sz w:val="28"/>
          <w:szCs w:val="28"/>
        </w:rPr>
        <w:t xml:space="preserve"> </w:t>
      </w:r>
      <w:proofErr w:type="spellStart"/>
      <w:r w:rsidRPr="001C3331">
        <w:rPr>
          <w:sz w:val="28"/>
          <w:szCs w:val="28"/>
        </w:rPr>
        <w:t>in</w:t>
      </w:r>
      <w:proofErr w:type="spellEnd"/>
      <w:r w:rsidRPr="001C3331">
        <w:rPr>
          <w:sz w:val="28"/>
          <w:szCs w:val="28"/>
        </w:rPr>
        <w:t xml:space="preserve"> </w:t>
      </w:r>
      <w:proofErr w:type="spellStart"/>
      <w:r w:rsidRPr="001C3331">
        <w:rPr>
          <w:sz w:val="28"/>
          <w:szCs w:val="28"/>
        </w:rPr>
        <w:t>Inclusive</w:t>
      </w:r>
      <w:proofErr w:type="spellEnd"/>
      <w:r w:rsidRPr="001C3331">
        <w:rPr>
          <w:sz w:val="28"/>
          <w:szCs w:val="28"/>
        </w:rPr>
        <w:t xml:space="preserve"> </w:t>
      </w:r>
      <w:proofErr w:type="spellStart"/>
      <w:r w:rsidRPr="001C3331">
        <w:rPr>
          <w:sz w:val="28"/>
          <w:szCs w:val="28"/>
        </w:rPr>
        <w:t>Classrooms</w:t>
      </w:r>
      <w:proofErr w:type="spellEnd"/>
      <w:r w:rsidRPr="001C3331">
        <w:rPr>
          <w:sz w:val="28"/>
          <w:szCs w:val="28"/>
        </w:rPr>
        <w:t xml:space="preserve">: </w:t>
      </w:r>
      <w:proofErr w:type="spellStart"/>
      <w:r w:rsidRPr="001C3331">
        <w:rPr>
          <w:sz w:val="28"/>
          <w:szCs w:val="28"/>
        </w:rPr>
        <w:t>Supporting</w:t>
      </w:r>
      <w:proofErr w:type="spellEnd"/>
      <w:r w:rsidRPr="001C3331">
        <w:rPr>
          <w:sz w:val="28"/>
          <w:szCs w:val="28"/>
        </w:rPr>
        <w:t xml:space="preserve"> </w:t>
      </w:r>
      <w:proofErr w:type="spellStart"/>
      <w:r w:rsidRPr="001C3331">
        <w:rPr>
          <w:sz w:val="28"/>
          <w:szCs w:val="28"/>
        </w:rPr>
        <w:t>Students</w:t>
      </w:r>
      <w:proofErr w:type="spellEnd"/>
      <w:r w:rsidRPr="001C3331">
        <w:rPr>
          <w:sz w:val="28"/>
          <w:szCs w:val="28"/>
        </w:rPr>
        <w:t xml:space="preserve"> </w:t>
      </w:r>
      <w:proofErr w:type="spellStart"/>
      <w:r w:rsidRPr="001C3331">
        <w:rPr>
          <w:sz w:val="28"/>
          <w:szCs w:val="28"/>
        </w:rPr>
        <w:t>with</w:t>
      </w:r>
      <w:proofErr w:type="spellEnd"/>
      <w:r w:rsidRPr="001C3331">
        <w:rPr>
          <w:sz w:val="28"/>
          <w:szCs w:val="28"/>
        </w:rPr>
        <w:t xml:space="preserve"> </w:t>
      </w:r>
      <w:proofErr w:type="spellStart"/>
      <w:r w:rsidRPr="001C3331">
        <w:rPr>
          <w:sz w:val="28"/>
          <w:szCs w:val="28"/>
        </w:rPr>
        <w:t>Autism</w:t>
      </w:r>
      <w:proofErr w:type="spellEnd"/>
      <w:r w:rsidRPr="001C3331">
        <w:rPr>
          <w:sz w:val="28"/>
          <w:szCs w:val="28"/>
        </w:rPr>
        <w:t xml:space="preserve">. </w:t>
      </w:r>
      <w:proofErr w:type="spellStart"/>
      <w:r w:rsidRPr="001C3331">
        <w:rPr>
          <w:sz w:val="28"/>
          <w:szCs w:val="28"/>
        </w:rPr>
        <w:t>Routledge</w:t>
      </w:r>
      <w:proofErr w:type="spellEnd"/>
      <w:r w:rsidRPr="001C3331">
        <w:rPr>
          <w:sz w:val="28"/>
          <w:szCs w:val="28"/>
        </w:rPr>
        <w:t>, 2019.</w:t>
      </w:r>
      <w:r w:rsidR="00283306">
        <w:rPr>
          <w:sz w:val="28"/>
          <w:szCs w:val="28"/>
          <w:rtl w:val="0"/>
        </w:rPr>
        <w:t>.</w:t>
      </w:r>
    </w:p>
    <w:p w14:paraId="36C58B85" w14:textId="46089E09" w:rsidR="00177988" w:rsidRPr="001C3331" w:rsidRDefault="006C3101" w:rsidP="001C3331">
      <w:pPr>
        <w:bidi w:val="0"/>
        <w:spacing w:after="200"/>
        <w:ind w:hanging="720"/>
        <w:jc w:val="both"/>
        <w:rPr>
          <w:sz w:val="28"/>
          <w:szCs w:val="28"/>
          <w:rtl w:val="0"/>
        </w:rPr>
      </w:pPr>
      <w:proofErr w:type="spellStart"/>
      <w:r w:rsidRPr="001C3331">
        <w:rPr>
          <w:sz w:val="28"/>
          <w:szCs w:val="28"/>
        </w:rPr>
        <w:t>Rose</w:t>
      </w:r>
      <w:proofErr w:type="spellEnd"/>
      <w:r w:rsidRPr="001C3331">
        <w:rPr>
          <w:sz w:val="28"/>
          <w:szCs w:val="28"/>
        </w:rPr>
        <w:t xml:space="preserve">, </w:t>
      </w:r>
      <w:proofErr w:type="spellStart"/>
      <w:r w:rsidRPr="001C3331">
        <w:rPr>
          <w:sz w:val="28"/>
          <w:szCs w:val="28"/>
        </w:rPr>
        <w:t>David</w:t>
      </w:r>
      <w:proofErr w:type="spellEnd"/>
      <w:r w:rsidRPr="001C3331">
        <w:rPr>
          <w:sz w:val="28"/>
          <w:szCs w:val="28"/>
        </w:rPr>
        <w:t xml:space="preserve">, </w:t>
      </w:r>
      <w:proofErr w:type="spellStart"/>
      <w:r w:rsidRPr="001C3331">
        <w:rPr>
          <w:sz w:val="28"/>
          <w:szCs w:val="28"/>
        </w:rPr>
        <w:t>and</w:t>
      </w:r>
      <w:proofErr w:type="spellEnd"/>
      <w:r w:rsidRPr="001C3331">
        <w:rPr>
          <w:sz w:val="28"/>
          <w:szCs w:val="28"/>
        </w:rPr>
        <w:t xml:space="preserve"> </w:t>
      </w:r>
      <w:proofErr w:type="spellStart"/>
      <w:r w:rsidRPr="001C3331">
        <w:rPr>
          <w:sz w:val="28"/>
          <w:szCs w:val="28"/>
        </w:rPr>
        <w:t>Anne</w:t>
      </w:r>
      <w:proofErr w:type="spellEnd"/>
      <w:r w:rsidRPr="001C3331">
        <w:rPr>
          <w:sz w:val="28"/>
          <w:szCs w:val="28"/>
        </w:rPr>
        <w:t xml:space="preserve"> </w:t>
      </w:r>
      <w:proofErr w:type="spellStart"/>
      <w:r w:rsidRPr="001C3331">
        <w:rPr>
          <w:sz w:val="28"/>
          <w:szCs w:val="28"/>
        </w:rPr>
        <w:t>Meyer</w:t>
      </w:r>
      <w:proofErr w:type="spellEnd"/>
      <w:r w:rsidRPr="001C3331">
        <w:rPr>
          <w:sz w:val="28"/>
          <w:szCs w:val="28"/>
        </w:rPr>
        <w:t xml:space="preserve">. </w:t>
      </w:r>
      <w:proofErr w:type="spellStart"/>
      <w:r w:rsidRPr="001C3331">
        <w:rPr>
          <w:sz w:val="28"/>
          <w:szCs w:val="28"/>
        </w:rPr>
        <w:t>Teaching</w:t>
      </w:r>
      <w:proofErr w:type="spellEnd"/>
      <w:r w:rsidRPr="001C3331">
        <w:rPr>
          <w:sz w:val="28"/>
          <w:szCs w:val="28"/>
        </w:rPr>
        <w:t xml:space="preserve"> </w:t>
      </w:r>
      <w:proofErr w:type="spellStart"/>
      <w:r w:rsidRPr="001C3331">
        <w:rPr>
          <w:sz w:val="28"/>
          <w:szCs w:val="28"/>
        </w:rPr>
        <w:t>Every</w:t>
      </w:r>
      <w:proofErr w:type="spellEnd"/>
      <w:r w:rsidRPr="001C3331">
        <w:rPr>
          <w:sz w:val="28"/>
          <w:szCs w:val="28"/>
        </w:rPr>
        <w:t xml:space="preserve"> </w:t>
      </w:r>
      <w:proofErr w:type="spellStart"/>
      <w:r w:rsidRPr="001C3331">
        <w:rPr>
          <w:sz w:val="28"/>
          <w:szCs w:val="28"/>
        </w:rPr>
        <w:t>Student</w:t>
      </w:r>
      <w:proofErr w:type="spellEnd"/>
      <w:r w:rsidRPr="001C3331">
        <w:rPr>
          <w:sz w:val="28"/>
          <w:szCs w:val="28"/>
        </w:rPr>
        <w:t xml:space="preserve"> </w:t>
      </w:r>
      <w:proofErr w:type="spellStart"/>
      <w:r w:rsidRPr="001C3331">
        <w:rPr>
          <w:sz w:val="28"/>
          <w:szCs w:val="28"/>
        </w:rPr>
        <w:t>in</w:t>
      </w:r>
      <w:proofErr w:type="spellEnd"/>
      <w:r w:rsidRPr="001C3331">
        <w:rPr>
          <w:sz w:val="28"/>
          <w:szCs w:val="28"/>
        </w:rPr>
        <w:t xml:space="preserve"> </w:t>
      </w:r>
      <w:proofErr w:type="spellStart"/>
      <w:r w:rsidRPr="001C3331">
        <w:rPr>
          <w:sz w:val="28"/>
          <w:szCs w:val="28"/>
        </w:rPr>
        <w:t>the</w:t>
      </w:r>
      <w:proofErr w:type="spellEnd"/>
      <w:r w:rsidRPr="001C3331">
        <w:rPr>
          <w:sz w:val="28"/>
          <w:szCs w:val="28"/>
        </w:rPr>
        <w:t xml:space="preserve"> </w:t>
      </w:r>
      <w:proofErr w:type="spellStart"/>
      <w:r w:rsidRPr="001C3331">
        <w:rPr>
          <w:sz w:val="28"/>
          <w:szCs w:val="28"/>
        </w:rPr>
        <w:t>Digital</w:t>
      </w:r>
      <w:proofErr w:type="spellEnd"/>
      <w:r w:rsidRPr="001C3331">
        <w:rPr>
          <w:sz w:val="28"/>
          <w:szCs w:val="28"/>
        </w:rPr>
        <w:t xml:space="preserve"> </w:t>
      </w:r>
      <w:proofErr w:type="spellStart"/>
      <w:r w:rsidRPr="001C3331">
        <w:rPr>
          <w:sz w:val="28"/>
          <w:szCs w:val="28"/>
        </w:rPr>
        <w:t>Age</w:t>
      </w:r>
      <w:proofErr w:type="spellEnd"/>
      <w:r w:rsidRPr="001C3331">
        <w:rPr>
          <w:sz w:val="28"/>
          <w:szCs w:val="28"/>
        </w:rPr>
        <w:t xml:space="preserve">: </w:t>
      </w:r>
      <w:proofErr w:type="spellStart"/>
      <w:r w:rsidRPr="001C3331">
        <w:rPr>
          <w:sz w:val="28"/>
          <w:szCs w:val="28"/>
        </w:rPr>
        <w:t>Universal</w:t>
      </w:r>
      <w:proofErr w:type="spellEnd"/>
      <w:r w:rsidRPr="001C3331">
        <w:rPr>
          <w:sz w:val="28"/>
          <w:szCs w:val="28"/>
        </w:rPr>
        <w:t xml:space="preserve"> </w:t>
      </w:r>
      <w:proofErr w:type="spellStart"/>
      <w:r w:rsidRPr="001C3331">
        <w:rPr>
          <w:sz w:val="28"/>
          <w:szCs w:val="28"/>
        </w:rPr>
        <w:t>Design</w:t>
      </w:r>
      <w:proofErr w:type="spellEnd"/>
      <w:r w:rsidRPr="001C3331">
        <w:rPr>
          <w:sz w:val="28"/>
          <w:szCs w:val="28"/>
        </w:rPr>
        <w:t xml:space="preserve"> </w:t>
      </w:r>
      <w:proofErr w:type="spellStart"/>
      <w:r w:rsidRPr="001C3331">
        <w:rPr>
          <w:sz w:val="28"/>
          <w:szCs w:val="28"/>
        </w:rPr>
        <w:t>for</w:t>
      </w:r>
      <w:proofErr w:type="spellEnd"/>
      <w:r w:rsidRPr="001C3331">
        <w:rPr>
          <w:sz w:val="28"/>
          <w:szCs w:val="28"/>
        </w:rPr>
        <w:t xml:space="preserve"> </w:t>
      </w:r>
      <w:proofErr w:type="spellStart"/>
      <w:r w:rsidRPr="001C3331">
        <w:rPr>
          <w:sz w:val="28"/>
          <w:szCs w:val="28"/>
        </w:rPr>
        <w:t>Learning</w:t>
      </w:r>
      <w:proofErr w:type="spellEnd"/>
      <w:r w:rsidRPr="001C3331">
        <w:rPr>
          <w:sz w:val="28"/>
          <w:szCs w:val="28"/>
        </w:rPr>
        <w:t>. ASCD, 2002</w:t>
      </w:r>
      <w:r w:rsidR="00283306">
        <w:rPr>
          <w:sz w:val="28"/>
          <w:szCs w:val="28"/>
          <w:rtl w:val="0"/>
        </w:rPr>
        <w:t>.</w:t>
      </w:r>
    </w:p>
    <w:sectPr w:rsidR="00177988" w:rsidRPr="001C3331" w:rsidSect="001C3331">
      <w:headerReference w:type="default" r:id="rId8"/>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069DF" w14:textId="77777777" w:rsidR="00A143E1" w:rsidRDefault="00A143E1" w:rsidP="001C3331">
      <w:r>
        <w:separator/>
      </w:r>
    </w:p>
  </w:endnote>
  <w:endnote w:type="continuationSeparator" w:id="0">
    <w:p w14:paraId="0798B172" w14:textId="77777777" w:rsidR="00A143E1" w:rsidRDefault="00A143E1" w:rsidP="001C3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524811"/>
      <w:docPartObj>
        <w:docPartGallery w:val="Page Numbers (Bottom of Page)"/>
        <w:docPartUnique/>
      </w:docPartObj>
    </w:sdtPr>
    <w:sdtEndPr>
      <w:rPr>
        <w:noProof/>
      </w:rPr>
    </w:sdtEndPr>
    <w:sdtContent>
      <w:p w14:paraId="5D1FCEE6" w14:textId="4BFF63C3" w:rsidR="001C3331" w:rsidRDefault="001C3331">
        <w:pPr>
          <w:pStyle w:val="Footer"/>
        </w:pPr>
        <w:r>
          <w:fldChar w:fldCharType="begin"/>
        </w:r>
        <w:r>
          <w:instrText xml:space="preserve"> PAGE   \* MERGEFORMAT </w:instrText>
        </w:r>
        <w:r>
          <w:fldChar w:fldCharType="separate"/>
        </w:r>
        <w:r>
          <w:rPr>
            <w:noProof/>
          </w:rPr>
          <w:t>2</w:t>
        </w:r>
        <w:r>
          <w:rPr>
            <w:noProof/>
          </w:rPr>
          <w:fldChar w:fldCharType="end"/>
        </w:r>
      </w:p>
    </w:sdtContent>
  </w:sdt>
  <w:p w14:paraId="19C4B12F" w14:textId="262B105F" w:rsidR="001C3331" w:rsidRDefault="001C3331" w:rsidP="001C33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C24E5" w14:textId="77777777" w:rsidR="00A143E1" w:rsidRDefault="00A143E1" w:rsidP="001C3331">
      <w:r>
        <w:separator/>
      </w:r>
    </w:p>
  </w:footnote>
  <w:footnote w:type="continuationSeparator" w:id="0">
    <w:p w14:paraId="3B465CC6" w14:textId="77777777" w:rsidR="00A143E1" w:rsidRDefault="00A143E1" w:rsidP="001C3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D2937" w14:textId="519A2219" w:rsidR="001C3331" w:rsidRDefault="001C3331" w:rsidP="001C3331">
    <w:pPr>
      <w:pStyle w:val="Header"/>
      <w:jc w:val="right"/>
      <w:rPr>
        <w:rtl w:val="0"/>
      </w:rPr>
    </w:pPr>
    <w:r>
      <w:rPr>
        <w:rtl w:val="0"/>
      </w:rPr>
      <w:t>219746</w:t>
    </w:r>
  </w:p>
  <w:p w14:paraId="211B0AD3" w14:textId="0391F7D8" w:rsidR="001C3331" w:rsidRDefault="001C3331" w:rsidP="001C3331">
    <w:pPr>
      <w:pStyle w:val="Header"/>
      <w:jc w:val="right"/>
      <w:rPr>
        <w:rtl w:val="0"/>
        <w:lang w:bidi="ar-JO"/>
      </w:rPr>
    </w:pPr>
    <w:r>
      <w:rPr>
        <w:rtl w:val="0"/>
      </w:rPr>
      <w:t>13/6/2026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752F1"/>
    <w:multiLevelType w:val="hybridMultilevel"/>
    <w:tmpl w:val="6E44972A"/>
    <w:lvl w:ilvl="0" w:tplc="C512C24E">
      <w:start w:val="1"/>
      <w:numFmt w:val="bullet"/>
      <w:lvlText w:val="●"/>
      <w:lvlJc w:val="left"/>
      <w:pPr>
        <w:ind w:left="720" w:hanging="360"/>
      </w:pPr>
    </w:lvl>
    <w:lvl w:ilvl="1" w:tplc="D0AA9E46">
      <w:start w:val="1"/>
      <w:numFmt w:val="bullet"/>
      <w:lvlText w:val="○"/>
      <w:lvlJc w:val="left"/>
      <w:pPr>
        <w:ind w:left="1440" w:hanging="360"/>
      </w:pPr>
    </w:lvl>
    <w:lvl w:ilvl="2" w:tplc="7E807C28">
      <w:start w:val="1"/>
      <w:numFmt w:val="bullet"/>
      <w:lvlText w:val="■"/>
      <w:lvlJc w:val="left"/>
      <w:pPr>
        <w:ind w:left="2160" w:hanging="360"/>
      </w:pPr>
    </w:lvl>
    <w:lvl w:ilvl="3" w:tplc="681ED7DC">
      <w:start w:val="1"/>
      <w:numFmt w:val="bullet"/>
      <w:lvlText w:val="●"/>
      <w:lvlJc w:val="left"/>
      <w:pPr>
        <w:ind w:left="2880" w:hanging="360"/>
      </w:pPr>
    </w:lvl>
    <w:lvl w:ilvl="4" w:tplc="C6B81D56">
      <w:start w:val="1"/>
      <w:numFmt w:val="bullet"/>
      <w:lvlText w:val="○"/>
      <w:lvlJc w:val="left"/>
      <w:pPr>
        <w:ind w:left="3600" w:hanging="360"/>
      </w:pPr>
    </w:lvl>
    <w:lvl w:ilvl="5" w:tplc="DD80F1AE">
      <w:start w:val="1"/>
      <w:numFmt w:val="bullet"/>
      <w:lvlText w:val="■"/>
      <w:lvlJc w:val="left"/>
      <w:pPr>
        <w:ind w:left="4320" w:hanging="360"/>
      </w:pPr>
    </w:lvl>
    <w:lvl w:ilvl="6" w:tplc="20B65EAC">
      <w:start w:val="1"/>
      <w:numFmt w:val="bullet"/>
      <w:lvlText w:val="●"/>
      <w:lvlJc w:val="left"/>
      <w:pPr>
        <w:ind w:left="5040" w:hanging="360"/>
      </w:pPr>
    </w:lvl>
    <w:lvl w:ilvl="7" w:tplc="7FC6744A">
      <w:start w:val="1"/>
      <w:numFmt w:val="bullet"/>
      <w:lvlText w:val="●"/>
      <w:lvlJc w:val="left"/>
      <w:pPr>
        <w:ind w:left="5760" w:hanging="360"/>
      </w:pPr>
    </w:lvl>
    <w:lvl w:ilvl="8" w:tplc="D5B2B2D8">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988"/>
    <w:rsid w:val="00177988"/>
    <w:rsid w:val="001C3331"/>
    <w:rsid w:val="00283306"/>
    <w:rsid w:val="006C3101"/>
    <w:rsid w:val="00A143E1"/>
    <w:rsid w:val="00E876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5493E"/>
  <w15:docId w15:val="{A5817049-F72F-426C-82C6-2C151DD2A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rt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1C3331"/>
    <w:pPr>
      <w:tabs>
        <w:tab w:val="center" w:pos="4153"/>
        <w:tab w:val="right" w:pos="8306"/>
      </w:tabs>
    </w:pPr>
  </w:style>
  <w:style w:type="character" w:customStyle="1" w:styleId="HeaderChar">
    <w:name w:val="Header Char"/>
    <w:basedOn w:val="DefaultParagraphFont"/>
    <w:link w:val="Header"/>
    <w:uiPriority w:val="99"/>
    <w:rsid w:val="001C3331"/>
  </w:style>
  <w:style w:type="paragraph" w:styleId="Footer">
    <w:name w:val="footer"/>
    <w:basedOn w:val="Normal"/>
    <w:link w:val="FooterChar"/>
    <w:uiPriority w:val="99"/>
    <w:unhideWhenUsed/>
    <w:rsid w:val="001C3331"/>
    <w:pPr>
      <w:tabs>
        <w:tab w:val="center" w:pos="4153"/>
        <w:tab w:val="right" w:pos="8306"/>
      </w:tabs>
    </w:pPr>
  </w:style>
  <w:style w:type="character" w:customStyle="1" w:styleId="FooterChar">
    <w:name w:val="Footer Char"/>
    <w:basedOn w:val="DefaultParagraphFont"/>
    <w:link w:val="Footer"/>
    <w:uiPriority w:val="99"/>
    <w:rsid w:val="001C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6244246-F7FE-484C-97BB-F69048A4B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1458</Words>
  <Characters>8313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khirat</cp:lastModifiedBy>
  <cp:revision>3</cp:revision>
  <dcterms:created xsi:type="dcterms:W3CDTF">2026-06-13T18:11:00Z</dcterms:created>
  <dcterms:modified xsi:type="dcterms:W3CDTF">2026-06-20T02:53:00Z</dcterms:modified>
</cp:coreProperties>
</file>