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33D3" w:rsidRDefault="004863EC" w:rsidP="004863EC">
      <w:pPr>
        <w:pStyle w:val="Heading1"/>
        <w:bidi/>
        <w:jc w:val="left"/>
      </w:pPr>
      <w:r>
        <w:t>توظيف تطبيقات تكنولوجيا التعليم</w:t>
      </w:r>
    </w:p>
    <w:p w:rsidR="008233D3" w:rsidRDefault="008233D3" w:rsidP="004863EC"/>
    <w:p w:rsidR="008233D3" w:rsidRDefault="004863EC" w:rsidP="004863EC">
      <w:pPr>
        <w:pStyle w:val="Heading2"/>
        <w:bidi/>
        <w:jc w:val="left"/>
      </w:pPr>
      <w:r>
        <w:t>تحليل دراسة الحالة:</w:t>
      </w:r>
    </w:p>
    <w:p w:rsidR="008233D3" w:rsidRDefault="004863EC" w:rsidP="004863EC">
      <w:pPr>
        <w:spacing w:before="120" w:after="120"/>
      </w:pPr>
      <w:r>
        <w:t>قام المعلم عماد بتوظيف مجموعة متنوعة من الأدوات والتطبيقات التكنولوجية في تدريس درس حول حل المعادلات الخطية، وذلك لتحقيق أهداف تعليمية متعددة وتلبية احتياجات الطلبة المختلفة. فيما يلي تحليل شامل للأدوات المستخدمة والهدف من توظيفها في كل مرحلة من مراحل الدر</w:t>
      </w:r>
      <w:r>
        <w:t>س:</w:t>
      </w:r>
    </w:p>
    <w:p w:rsidR="008233D3" w:rsidRDefault="008233D3" w:rsidP="004863EC"/>
    <w:p w:rsidR="008233D3" w:rsidRDefault="004863EC" w:rsidP="004863EC">
      <w:pPr>
        <w:pStyle w:val="Heading2"/>
        <w:bidi/>
        <w:jc w:val="left"/>
      </w:pPr>
      <w:r>
        <w:t>المرحلة الأولى: الأدوات التكنولوجية المستخدمة حسب مراحل الدرس</w:t>
      </w:r>
    </w:p>
    <w:p w:rsidR="008233D3" w:rsidRDefault="008233D3" w:rsidP="004863E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2800"/>
        <w:gridCol w:w="3060"/>
        <w:gridCol w:w="2000"/>
      </w:tblGrid>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shd w:val="clear" w:color="auto" w:fill="4472C4"/>
            <w:tcMar>
              <w:top w:w="120" w:type="dxa"/>
              <w:left w:w="120" w:type="dxa"/>
              <w:bottom w:w="120" w:type="dxa"/>
              <w:right w:w="120" w:type="dxa"/>
            </w:tcMar>
          </w:tcPr>
          <w:p w:rsidR="008233D3" w:rsidRDefault="004863EC" w:rsidP="004863EC">
            <w:r>
              <w:rPr>
                <w:b/>
                <w:bCs/>
                <w:color w:val="FFFFFF"/>
              </w:rPr>
              <w:t>نوع التقييم</w:t>
            </w:r>
          </w:p>
        </w:tc>
        <w:tc>
          <w:tcPr>
            <w:tcW w:w="2800" w:type="dxa"/>
            <w:tcBorders>
              <w:top w:val="single" w:sz="1" w:space="0" w:color="000000"/>
              <w:left w:val="single" w:sz="1" w:space="0" w:color="000000"/>
              <w:bottom w:val="single" w:sz="1" w:space="0" w:color="000000"/>
              <w:right w:val="single" w:sz="1" w:space="0" w:color="000000"/>
            </w:tcBorders>
            <w:shd w:val="clear" w:color="auto" w:fill="4472C4"/>
            <w:tcMar>
              <w:top w:w="120" w:type="dxa"/>
              <w:left w:w="120" w:type="dxa"/>
              <w:bottom w:w="120" w:type="dxa"/>
              <w:right w:w="120" w:type="dxa"/>
            </w:tcMar>
          </w:tcPr>
          <w:p w:rsidR="008233D3" w:rsidRDefault="004863EC" w:rsidP="004863EC">
            <w:r>
              <w:rPr>
                <w:b/>
                <w:bCs/>
                <w:color w:val="FFFFFF"/>
              </w:rPr>
              <w:t>الهدف من التوظيف</w:t>
            </w:r>
          </w:p>
        </w:tc>
        <w:tc>
          <w:tcPr>
            <w:tcW w:w="3060" w:type="dxa"/>
            <w:tcBorders>
              <w:top w:val="single" w:sz="1" w:space="0" w:color="000000"/>
              <w:left w:val="single" w:sz="1" w:space="0" w:color="000000"/>
              <w:bottom w:val="single" w:sz="1" w:space="0" w:color="000000"/>
              <w:right w:val="single" w:sz="1" w:space="0" w:color="000000"/>
            </w:tcBorders>
            <w:shd w:val="clear" w:color="auto" w:fill="4472C4"/>
            <w:tcMar>
              <w:top w:w="120" w:type="dxa"/>
              <w:left w:w="120" w:type="dxa"/>
              <w:bottom w:w="120" w:type="dxa"/>
              <w:right w:w="120" w:type="dxa"/>
            </w:tcMar>
          </w:tcPr>
          <w:p w:rsidR="008233D3" w:rsidRDefault="004863EC" w:rsidP="004863EC">
            <w:r>
              <w:rPr>
                <w:b/>
                <w:bCs/>
                <w:color w:val="FFFFFF"/>
              </w:rPr>
              <w:t>الأداة/التطبيق التكنولوجي</w:t>
            </w:r>
          </w:p>
        </w:tc>
        <w:tc>
          <w:tcPr>
            <w:tcW w:w="2000" w:type="dxa"/>
            <w:tcBorders>
              <w:top w:val="single" w:sz="1" w:space="0" w:color="000000"/>
              <w:left w:val="single" w:sz="1" w:space="0" w:color="000000"/>
              <w:bottom w:val="single" w:sz="1" w:space="0" w:color="000000"/>
              <w:right w:val="single" w:sz="1" w:space="0" w:color="000000"/>
            </w:tcBorders>
            <w:shd w:val="clear" w:color="auto" w:fill="4472C4"/>
            <w:tcMar>
              <w:top w:w="120" w:type="dxa"/>
              <w:left w:w="120" w:type="dxa"/>
              <w:bottom w:w="120" w:type="dxa"/>
              <w:right w:w="120" w:type="dxa"/>
            </w:tcMar>
          </w:tcPr>
          <w:p w:rsidR="008233D3" w:rsidRDefault="004863EC" w:rsidP="004863EC">
            <w:r>
              <w:rPr>
                <w:b/>
                <w:bCs/>
                <w:color w:val="FFFFFF"/>
              </w:rPr>
              <w:t>مرحلة الدرس</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قبلي/تكويني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xml:space="preserve">• تقديم شرح تفاعلي للمتغيرات والثوابت وكيفية حل المعادلات الخطية • تمكين الطلبة من التفاعل مع المحتوى </w:t>
            </w:r>
            <w:r>
              <w:t>• الإجابة عن أسئلة تفاعلية • مشاهدة رسوم توضيحية لدعم الفهم الأساسي</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Nearpod</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المقدمة التفاعلية</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عرض المعادلات الخطية بشكل رسومي بصري • إدخال قيم مختلفة للمتغيرات ومشاهدة تأثيرها • تعزيز الفهم البصري للمفاهيم الجبرية • ربط الجبر بالرسم البياني</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Desmos</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العرض البصري</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تقديم شرح إضافي بأسلوب مختلف • توفير فيديوهات تعليمية لحل المعادلات الخطية • تثبيت المعلومات لدى الطلبة • دعم التعلم الذاتي</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Khan Academy</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تقديم محتوى جديد</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إعداد اختبار قصير لقياس مدى الاستيعاب • الحصول على نتائج فورية</w:t>
            </w:r>
            <w:r>
              <w:t xml:space="preserve"> • تحديد الصعوبات التي يواجهها الطلبة • معالجة نقاط الضعف مباشرة</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Socrative</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التقييم التكويني</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xml:space="preserve">• توزيع تمارين فردية • حل مسائل رياضية وإرسالها للتصحيح • متابعة تقدم كل طالب </w:t>
            </w:r>
            <w:r>
              <w:lastRenderedPageBreak/>
              <w:t>بشكل فردي • تقديم تغذية راجعة شخصية</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lastRenderedPageBreak/>
              <w:t>Google Classroom</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التمارين الفردية</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lastRenderedPageBreak/>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تعزيز العمل الجماعي التعاوني • حل مسائل معقدة بشكل تعاوني • تبادل الأفكار بين الطلبة • تطوير مهارات التعاون وحل المشكلات</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Jamboard</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العمل الجماعي</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تكويني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xml:space="preserve">• تعزيز فهم المعادلات الخطية من خلال تطبيقات جبرية وهندسية • التفاعل مع الرسوم البيانية </w:t>
            </w:r>
            <w:r>
              <w:t>• إدراك العلاقات بين المعادلات والنقاط على المحاور • ربط الجبر بالهندسة</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GeoGebra</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التطبيق العملي</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ختامي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إجراء التقييم الختامي • مشاهدة فيديو تعليمي يتضمن حل مسائل • الإجابة على أسئلة تفاعلية خلال المشاهدة • قياس مدى تقدم الطلبة</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Edpuzzle</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التقييم الختامي</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خ</w:t>
            </w:r>
            <w:r>
              <w:t>تامي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إنشاء مراجعة جماعية للأفكار الرئيسة • تلخيص المفاهيم المكتسبة • توثيق ما تم تعلمه • تعزيز التعلم التعاوني والتشاركي</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Padlet</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الخاتمة والمراجعة</w:t>
            </w:r>
          </w:p>
        </w:tc>
      </w:tr>
      <w:tr w:rsidR="008233D3">
        <w:tblPrEx>
          <w:tblCellMar>
            <w:top w:w="0" w:type="dxa"/>
            <w:bottom w:w="0" w:type="dxa"/>
          </w:tblCellMar>
        </w:tblPrEx>
        <w:tc>
          <w:tcPr>
            <w:tcW w:w="15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إثرائي</w:t>
            </w:r>
          </w:p>
        </w:tc>
        <w:tc>
          <w:tcPr>
            <w:tcW w:w="28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t>• تعزيز التعلم الذاتي بعد الدرس • مشاركة روابط لفيديوهات تعليمية • شرح موضوعات المعادلات بتفصيل أكبر</w:t>
            </w:r>
            <w:r>
              <w:t xml:space="preserve"> • إتاحة فرصة مراجعة المفاهيم في أوقات الطلبة الخاصة</w:t>
            </w:r>
          </w:p>
        </w:tc>
        <w:tc>
          <w:tcPr>
            <w:tcW w:w="3060" w:type="dxa"/>
            <w:tcBorders>
              <w:top w:val="single" w:sz="1" w:space="0" w:color="000000"/>
              <w:left w:val="single" w:sz="1" w:space="0" w:color="000000"/>
              <w:bottom w:val="single" w:sz="1" w:space="0" w:color="000000"/>
              <w:right w:val="single" w:sz="1" w:space="0" w:color="000000"/>
            </w:tcBorders>
            <w:shd w:val="clear" w:color="auto" w:fill="E7E6E6"/>
            <w:tcMar>
              <w:top w:w="120" w:type="dxa"/>
              <w:left w:w="120" w:type="dxa"/>
              <w:bottom w:w="120" w:type="dxa"/>
              <w:right w:w="120" w:type="dxa"/>
            </w:tcMar>
          </w:tcPr>
          <w:p w:rsidR="008233D3" w:rsidRDefault="004863EC" w:rsidP="004863EC">
            <w:r>
              <w:rPr>
                <w:b/>
                <w:bCs/>
              </w:rPr>
              <w:t>YouTube</w:t>
            </w:r>
          </w:p>
        </w:tc>
        <w:tc>
          <w:tcPr>
            <w:tcW w:w="2000" w:type="dxa"/>
            <w:tcBorders>
              <w:top w:val="single" w:sz="1" w:space="0" w:color="000000"/>
              <w:left w:val="single" w:sz="1" w:space="0" w:color="000000"/>
              <w:bottom w:val="single" w:sz="1" w:space="0" w:color="000000"/>
              <w:right w:val="single" w:sz="1" w:space="0" w:color="000000"/>
            </w:tcBorders>
            <w:tcMar>
              <w:top w:w="120" w:type="dxa"/>
              <w:left w:w="120" w:type="dxa"/>
              <w:bottom w:w="120" w:type="dxa"/>
              <w:right w:w="120" w:type="dxa"/>
            </w:tcMar>
          </w:tcPr>
          <w:p w:rsidR="008233D3" w:rsidRDefault="004863EC" w:rsidP="004863EC">
            <w:r>
              <w:rPr>
                <w:b/>
                <w:bCs/>
              </w:rPr>
              <w:t>ما بعد الدرس (إثراء)</w:t>
            </w:r>
          </w:p>
        </w:tc>
      </w:tr>
    </w:tbl>
    <w:p w:rsidR="008233D3" w:rsidRDefault="008233D3" w:rsidP="004863EC"/>
    <w:p w:rsidR="008233D3" w:rsidRDefault="008233D3" w:rsidP="004863EC"/>
    <w:p w:rsidR="008233D3" w:rsidRDefault="004863EC" w:rsidP="004863EC">
      <w:pPr>
        <w:pStyle w:val="Heading2"/>
        <w:bidi/>
        <w:jc w:val="left"/>
      </w:pPr>
      <w:r>
        <w:t>المرحلة الثانية: تصنيف الأدوات حسب أنواع التقييم</w:t>
      </w:r>
    </w:p>
    <w:p w:rsidR="008233D3" w:rsidRDefault="008233D3" w:rsidP="004863EC"/>
    <w:p w:rsidR="008233D3" w:rsidRDefault="004863EC" w:rsidP="004863EC">
      <w:pPr>
        <w:spacing w:before="120" w:after="80"/>
      </w:pPr>
      <w:r>
        <w:rPr>
          <w:b/>
          <w:bCs/>
          <w:sz w:val="26"/>
          <w:szCs w:val="26"/>
        </w:rPr>
        <w:t>1. التقييم القبلي/التشخيصي:</w:t>
      </w:r>
    </w:p>
    <w:p w:rsidR="008233D3" w:rsidRDefault="004863EC" w:rsidP="004863EC">
      <w:pPr>
        <w:spacing w:after="120"/>
      </w:pPr>
      <w:r>
        <w:t>• Nearpod: استُخدم في بداية الدرس لتقييم المعرفة السابقة للطلبة وفهمهم الأولي للمفاهيم من خلال الأسئلة التفاعلية.</w:t>
      </w:r>
    </w:p>
    <w:p w:rsidR="008233D3" w:rsidRDefault="004863EC" w:rsidP="004863EC">
      <w:pPr>
        <w:spacing w:before="120" w:after="80"/>
      </w:pPr>
      <w:r>
        <w:rPr>
          <w:b/>
          <w:bCs/>
          <w:sz w:val="26"/>
          <w:szCs w:val="26"/>
        </w:rPr>
        <w:t>2. التقييم التكويني (المستمر):</w:t>
      </w:r>
    </w:p>
    <w:p w:rsidR="008233D3" w:rsidRDefault="004863EC" w:rsidP="004863EC">
      <w:pPr>
        <w:spacing w:after="60"/>
      </w:pPr>
      <w:r>
        <w:t>• Desmos: للتقييم البصري المستمر لفهم الطلبة من خلال تفاعلهم مع الرسوم البيانية</w:t>
      </w:r>
    </w:p>
    <w:p w:rsidR="008233D3" w:rsidRDefault="004863EC" w:rsidP="004863EC">
      <w:pPr>
        <w:spacing w:after="60"/>
      </w:pPr>
      <w:r>
        <w:t>• Khan Academy: لتقييم الفهم من</w:t>
      </w:r>
      <w:r>
        <w:t xml:space="preserve"> خلال مشاهدة الفيديوهات التعليمية</w:t>
      </w:r>
    </w:p>
    <w:p w:rsidR="008233D3" w:rsidRDefault="004863EC" w:rsidP="004863EC">
      <w:pPr>
        <w:spacing w:after="60"/>
      </w:pPr>
      <w:r>
        <w:t>• Socrative: أداة رئيسية للتقييم التكويني من خلال الاختبارات القصيرة والنتائج الفورية</w:t>
      </w:r>
    </w:p>
    <w:p w:rsidR="008233D3" w:rsidRDefault="004863EC" w:rsidP="004863EC">
      <w:pPr>
        <w:spacing w:after="60"/>
      </w:pPr>
      <w:r>
        <w:lastRenderedPageBreak/>
        <w:t>• Google Classroom: لتقييم الأداء الفردي من خلال التمارين المرسلة</w:t>
      </w:r>
    </w:p>
    <w:p w:rsidR="008233D3" w:rsidRDefault="004863EC" w:rsidP="004863EC">
      <w:pPr>
        <w:spacing w:after="60"/>
      </w:pPr>
      <w:r>
        <w:t>• Jamboard: لتقييم مهارات التعاون والعمل الجماعي في حل المسائل</w:t>
      </w:r>
    </w:p>
    <w:p w:rsidR="008233D3" w:rsidRDefault="004863EC" w:rsidP="004863EC">
      <w:pPr>
        <w:spacing w:after="120"/>
      </w:pPr>
      <w:r>
        <w:t>• GeoGe</w:t>
      </w:r>
      <w:r>
        <w:t>bra: لتقييم الفهم العملي والتطبيقي للمفاهيم الجبرية والهندسية</w:t>
      </w:r>
    </w:p>
    <w:p w:rsidR="008233D3" w:rsidRDefault="004863EC" w:rsidP="004863EC">
      <w:pPr>
        <w:spacing w:before="120" w:after="80"/>
      </w:pPr>
      <w:r>
        <w:rPr>
          <w:b/>
          <w:bCs/>
          <w:sz w:val="26"/>
          <w:szCs w:val="26"/>
        </w:rPr>
        <w:t>3. التقييم الختامي (النهائي):</w:t>
      </w:r>
    </w:p>
    <w:p w:rsidR="008233D3" w:rsidRDefault="004863EC" w:rsidP="004863EC">
      <w:pPr>
        <w:spacing w:after="60"/>
      </w:pPr>
      <w:r>
        <w:t>• Edpuzzle: للتقييم الختامي الشامل من خلال فيديو تفاعلي يقيس مدى تحقق الأهداف التعليمية</w:t>
      </w:r>
    </w:p>
    <w:p w:rsidR="008233D3" w:rsidRDefault="004863EC" w:rsidP="004863EC">
      <w:pPr>
        <w:spacing w:after="120"/>
      </w:pPr>
      <w:r>
        <w:t>• Padlet: كأداة للتقييم الختامي التشاركي من خلال المراجعة الجماعية وتوثيق ال</w:t>
      </w:r>
      <w:r>
        <w:t>تعلم</w:t>
      </w:r>
    </w:p>
    <w:p w:rsidR="008233D3" w:rsidRDefault="004863EC" w:rsidP="004863EC">
      <w:pPr>
        <w:spacing w:before="120" w:after="80"/>
      </w:pPr>
      <w:r>
        <w:rPr>
          <w:b/>
          <w:bCs/>
          <w:sz w:val="26"/>
          <w:szCs w:val="26"/>
        </w:rPr>
        <w:t>4. أدوات إثرائية (للتعلم الذاتي):</w:t>
      </w:r>
    </w:p>
    <w:p w:rsidR="008233D3" w:rsidRDefault="004863EC" w:rsidP="004863EC">
      <w:pPr>
        <w:spacing w:after="120"/>
      </w:pPr>
      <w:r>
        <w:t>• YouTube: لتعزيز التعلم المستمر خارج وقت الحصة ومراجعة المفاهيم</w:t>
      </w:r>
      <w:bookmarkStart w:id="0" w:name="_GoBack"/>
      <w:bookmarkEnd w:id="0"/>
    </w:p>
    <w:p w:rsidR="008233D3" w:rsidRDefault="004863EC" w:rsidP="004863EC">
      <w:pPr>
        <w:pStyle w:val="Heading2"/>
        <w:bidi/>
        <w:jc w:val="left"/>
      </w:pPr>
      <w:r>
        <w:t>الخلاصة:</w:t>
      </w:r>
    </w:p>
    <w:p w:rsidR="008233D3" w:rsidRDefault="004863EC" w:rsidP="004863EC">
      <w:pPr>
        <w:spacing w:before="120" w:after="120"/>
      </w:pPr>
      <w:r>
        <w:t>نجح المعلم عماد في توظيف (10) أدوات وتطبيقات تكنولوجية متنوعة بشكل منهجي ومتكامل، حيث غطت جميع مراحل الدرس من المقدمة حتى التقييم الختامي وال</w:t>
      </w:r>
      <w:r>
        <w:t>إثراء. هذا التنوع في الأدوات ساعد على:</w:t>
      </w:r>
    </w:p>
    <w:p w:rsidR="008233D3" w:rsidRDefault="004863EC" w:rsidP="004863EC">
      <w:pPr>
        <w:spacing w:after="60"/>
      </w:pPr>
      <w:r>
        <w:t>• تلبية احتياجات الطلبة المتنوعة (بصري، سمعي، حركي)</w:t>
      </w:r>
    </w:p>
    <w:p w:rsidR="008233D3" w:rsidRDefault="004863EC" w:rsidP="004863EC">
      <w:pPr>
        <w:spacing w:after="60"/>
      </w:pPr>
      <w:r>
        <w:t>• تحقيق التقييم المستمر على مدار الدرس</w:t>
      </w:r>
    </w:p>
    <w:p w:rsidR="008233D3" w:rsidRDefault="004863EC" w:rsidP="004863EC">
      <w:pPr>
        <w:spacing w:after="60"/>
      </w:pPr>
      <w:r>
        <w:t>• تعزيز التفاعل والمشاركة النشطة</w:t>
      </w:r>
    </w:p>
    <w:p w:rsidR="008233D3" w:rsidRDefault="004863EC" w:rsidP="004863EC">
      <w:pPr>
        <w:spacing w:after="60"/>
      </w:pPr>
      <w:r>
        <w:t>• دعم التعلم الفردي والجماعي</w:t>
      </w:r>
    </w:p>
    <w:p w:rsidR="008233D3" w:rsidRDefault="004863EC" w:rsidP="004863EC">
      <w:pPr>
        <w:spacing w:after="120"/>
      </w:pPr>
      <w:r>
        <w:t>• تحقيق فهم أعمق للمفاهيم الرياضية من خلال الربط بين الجبر والتم</w:t>
      </w:r>
      <w:r>
        <w:t>ثيلات البصرية</w:t>
      </w:r>
    </w:p>
    <w:p w:rsidR="004863EC" w:rsidRDefault="004863EC" w:rsidP="004863EC">
      <w:pPr>
        <w:spacing w:after="120"/>
      </w:pPr>
    </w:p>
    <w:p w:rsidR="004863EC" w:rsidRDefault="004863EC" w:rsidP="004863EC">
      <w:pPr>
        <w:pStyle w:val="Heading2"/>
        <w:bidi/>
        <w:jc w:val="center"/>
      </w:pPr>
      <w:r>
        <w:t>التغذية الراجعة من "الصديق الناقد"</w:t>
      </w:r>
    </w:p>
    <w:p w:rsidR="004863EC" w:rsidRPr="004863EC" w:rsidRDefault="004863EC" w:rsidP="004863EC">
      <w:pPr>
        <w:pStyle w:val="Heading3"/>
        <w:bidi/>
        <w:rPr>
          <w:b/>
          <w:bCs/>
        </w:rPr>
      </w:pPr>
      <w:r w:rsidRPr="004863EC">
        <w:rPr>
          <w:b/>
          <w:bCs/>
        </w:rPr>
        <w:t>1. الاستناد النظري الرصين (المقدمة)</w:t>
      </w:r>
    </w:p>
    <w:p w:rsidR="004863EC" w:rsidRDefault="004863EC" w:rsidP="004863EC">
      <w:pPr>
        <w:pStyle w:val="NormalWeb"/>
        <w:numPr>
          <w:ilvl w:val="0"/>
          <w:numId w:val="2"/>
        </w:numPr>
        <w:bidi/>
      </w:pPr>
      <w:r>
        <w:rPr>
          <w:b/>
          <w:bCs/>
          <w:rtl/>
        </w:rPr>
        <w:t>ما تميزت به</w:t>
      </w:r>
      <w:r>
        <w:rPr>
          <w:b/>
          <w:bCs/>
        </w:rPr>
        <w:t>:</w:t>
      </w:r>
      <w:r>
        <w:t xml:space="preserve"> </w:t>
      </w:r>
      <w:r>
        <w:rPr>
          <w:rtl/>
        </w:rPr>
        <w:t>مقدمتك النظرية صيغت بلغة تربوية بليغة ومحترفة</w:t>
      </w:r>
      <w:r>
        <w:t xml:space="preserve">. </w:t>
      </w:r>
      <w:r>
        <w:rPr>
          <w:rStyle w:val="citation-458"/>
          <w:rtl/>
        </w:rPr>
        <w:t>لقد نجحت في إبراز العناوين الكبرى لدمج التقنية مثل: (رفع الجودة، تحسين الأداء، مراعاة الفروق الفردية، وتقديم التغذية الراجعة الفورية)</w:t>
      </w:r>
      <w:r>
        <w:t xml:space="preserve">. </w:t>
      </w:r>
    </w:p>
    <w:p w:rsidR="004863EC" w:rsidRDefault="004863EC" w:rsidP="004863EC">
      <w:pPr>
        <w:pStyle w:val="NormalWeb"/>
        <w:numPr>
          <w:ilvl w:val="0"/>
          <w:numId w:val="2"/>
        </w:numPr>
        <w:bidi/>
      </w:pPr>
      <w:r>
        <w:rPr>
          <w:rStyle w:val="citation-457"/>
          <w:b/>
          <w:bCs/>
          <w:rtl/>
        </w:rPr>
        <w:t>الأثر التربوي</w:t>
      </w:r>
      <w:r>
        <w:rPr>
          <w:rStyle w:val="citation-457"/>
          <w:b/>
          <w:bCs/>
        </w:rPr>
        <w:t>:</w:t>
      </w:r>
      <w:r>
        <w:rPr>
          <w:rStyle w:val="citation-457"/>
        </w:rPr>
        <w:t xml:space="preserve"> </w:t>
      </w:r>
      <w:r>
        <w:rPr>
          <w:rStyle w:val="citation-457"/>
          <w:rtl/>
        </w:rPr>
        <w:t>هذا الربط يظهر للمقوّم في الأكاديمية أنك لا تنظر للتكنولوجيا كأداة ترفيهية، بل كرافعة بيداغوجية لتحسين جودة التعلم</w:t>
      </w:r>
      <w:r>
        <w:t xml:space="preserve">. </w:t>
      </w:r>
    </w:p>
    <w:p w:rsidR="004863EC" w:rsidRDefault="004863EC" w:rsidP="004863EC">
      <w:pPr>
        <w:pStyle w:val="Heading3"/>
        <w:bidi/>
      </w:pPr>
      <w:r>
        <w:t>2. العبقرية في التحليل والتسلسل (الجدول والمرحلة الأولى)</w:t>
      </w:r>
    </w:p>
    <w:p w:rsidR="004863EC" w:rsidRDefault="004863EC" w:rsidP="004863EC">
      <w:pPr>
        <w:pStyle w:val="NormalWeb"/>
        <w:numPr>
          <w:ilvl w:val="0"/>
          <w:numId w:val="3"/>
        </w:numPr>
        <w:bidi/>
      </w:pPr>
      <w:r>
        <w:rPr>
          <w:rStyle w:val="citation-456"/>
          <w:b/>
          <w:bCs/>
          <w:rtl/>
        </w:rPr>
        <w:t>ما تميزت به</w:t>
      </w:r>
      <w:r>
        <w:rPr>
          <w:rStyle w:val="citation-456"/>
          <w:b/>
          <w:bCs/>
        </w:rPr>
        <w:t>:</w:t>
      </w:r>
      <w:r>
        <w:rPr>
          <w:rStyle w:val="citation-456"/>
        </w:rPr>
        <w:t xml:space="preserve"> </w:t>
      </w:r>
      <w:r>
        <w:rPr>
          <w:rStyle w:val="citation-456"/>
          <w:rtl/>
        </w:rPr>
        <w:t>جدولك شمل (10) أدوات تكنولوجية كاملة دون إسقاط أي أداة وردت في دراسة الحالة</w:t>
      </w:r>
      <w:r>
        <w:t xml:space="preserve">. </w:t>
      </w:r>
      <w:r>
        <w:rPr>
          <w:rtl/>
        </w:rPr>
        <w:t xml:space="preserve">والأهم من ذلك هو دقة صياغتك لـ "الهدف من التوظيف" لكل أداة؛ </w:t>
      </w:r>
      <w:r>
        <w:rPr>
          <w:rStyle w:val="citation-455"/>
          <w:rtl/>
        </w:rPr>
        <w:t>حيث ربطت التطبيقات البصرية</w:t>
      </w:r>
      <w:r>
        <w:rPr>
          <w:rStyle w:val="citation-455"/>
        </w:rPr>
        <w:t xml:space="preserve"> (</w:t>
      </w:r>
      <w:r>
        <w:rPr>
          <w:rStyle w:val="citation-455"/>
          <w:rtl/>
        </w:rPr>
        <w:t>مثل</w:t>
      </w:r>
      <w:r>
        <w:rPr>
          <w:rStyle w:val="citation-455"/>
        </w:rPr>
        <w:t xml:space="preserve"> </w:t>
      </w:r>
      <w:proofErr w:type="spellStart"/>
      <w:r>
        <w:rPr>
          <w:rStyle w:val="citation-455"/>
        </w:rPr>
        <w:t>Desmos</w:t>
      </w:r>
      <w:proofErr w:type="spellEnd"/>
      <w:r>
        <w:rPr>
          <w:rStyle w:val="citation-455"/>
        </w:rPr>
        <w:t xml:space="preserve"> </w:t>
      </w:r>
      <w:r>
        <w:rPr>
          <w:rStyle w:val="citation-455"/>
          <w:rtl/>
        </w:rPr>
        <w:t>و</w:t>
      </w:r>
      <w:proofErr w:type="spellStart"/>
      <w:r>
        <w:rPr>
          <w:rStyle w:val="citation-455"/>
        </w:rPr>
        <w:t>GeoGebra</w:t>
      </w:r>
      <w:proofErr w:type="spellEnd"/>
      <w:r>
        <w:rPr>
          <w:rStyle w:val="citation-455"/>
        </w:rPr>
        <w:t xml:space="preserve">) </w:t>
      </w:r>
      <w:r>
        <w:rPr>
          <w:rStyle w:val="citation-455"/>
          <w:rtl/>
        </w:rPr>
        <w:t>بأهدافها الهندسية والبيانية، والتطبيقات التقييمية</w:t>
      </w:r>
      <w:r>
        <w:rPr>
          <w:rStyle w:val="citation-455"/>
        </w:rPr>
        <w:t xml:space="preserve"> (</w:t>
      </w:r>
      <w:r>
        <w:rPr>
          <w:rStyle w:val="citation-455"/>
          <w:rtl/>
        </w:rPr>
        <w:t>مثل</w:t>
      </w:r>
      <w:r>
        <w:rPr>
          <w:rStyle w:val="citation-455"/>
        </w:rPr>
        <w:t xml:space="preserve"> </w:t>
      </w:r>
      <w:proofErr w:type="spellStart"/>
      <w:r>
        <w:rPr>
          <w:rStyle w:val="citation-455"/>
        </w:rPr>
        <w:t>Socrative</w:t>
      </w:r>
      <w:proofErr w:type="spellEnd"/>
      <w:r>
        <w:rPr>
          <w:rStyle w:val="citation-455"/>
        </w:rPr>
        <w:t xml:space="preserve"> </w:t>
      </w:r>
      <w:r>
        <w:rPr>
          <w:rStyle w:val="citation-455"/>
          <w:rtl/>
        </w:rPr>
        <w:t>و</w:t>
      </w:r>
      <w:proofErr w:type="spellStart"/>
      <w:r>
        <w:rPr>
          <w:rStyle w:val="citation-455"/>
        </w:rPr>
        <w:t>Edpuzzle</w:t>
      </w:r>
      <w:proofErr w:type="spellEnd"/>
      <w:r>
        <w:rPr>
          <w:rStyle w:val="citation-455"/>
        </w:rPr>
        <w:t xml:space="preserve">) </w:t>
      </w:r>
      <w:r>
        <w:rPr>
          <w:rStyle w:val="citation-455"/>
          <w:rtl/>
        </w:rPr>
        <w:t>بأهدافها المسحية والتشخيصية الفورية</w:t>
      </w:r>
      <w:r>
        <w:t xml:space="preserve">. </w:t>
      </w:r>
    </w:p>
    <w:p w:rsidR="004863EC" w:rsidRDefault="004863EC" w:rsidP="004863EC">
      <w:pPr>
        <w:pStyle w:val="NormalWeb"/>
        <w:numPr>
          <w:ilvl w:val="0"/>
          <w:numId w:val="3"/>
        </w:numPr>
        <w:bidi/>
      </w:pPr>
      <w:r>
        <w:rPr>
          <w:rStyle w:val="citation-454"/>
          <w:b/>
          <w:bCs/>
          <w:rtl/>
        </w:rPr>
        <w:t>الأثر التربوي</w:t>
      </w:r>
      <w:r>
        <w:rPr>
          <w:rStyle w:val="citation-454"/>
          <w:b/>
          <w:bCs/>
        </w:rPr>
        <w:t>:</w:t>
      </w:r>
      <w:r>
        <w:rPr>
          <w:rStyle w:val="citation-454"/>
        </w:rPr>
        <w:t xml:space="preserve"> </w:t>
      </w:r>
      <w:r>
        <w:rPr>
          <w:rStyle w:val="citation-454"/>
          <w:rtl/>
        </w:rPr>
        <w:t>هذا التناغم يثبت قدرتك العالية على تفكيك المواقف التعليمية وتحليل سلوك المعلم بأسلوب علمي وممنهج</w:t>
      </w:r>
      <w:r>
        <w:t xml:space="preserve">. </w:t>
      </w:r>
    </w:p>
    <w:p w:rsidR="004863EC" w:rsidRDefault="004863EC" w:rsidP="004863EC">
      <w:pPr>
        <w:pStyle w:val="Heading3"/>
        <w:bidi/>
      </w:pPr>
      <w:r>
        <w:t>3. وعي ومحاكمة تربوية متميزة (أنواع التقييم)</w:t>
      </w:r>
    </w:p>
    <w:p w:rsidR="004863EC" w:rsidRDefault="004863EC" w:rsidP="004863EC">
      <w:pPr>
        <w:pStyle w:val="NormalWeb"/>
        <w:numPr>
          <w:ilvl w:val="0"/>
          <w:numId w:val="4"/>
        </w:numPr>
        <w:bidi/>
      </w:pPr>
      <w:r>
        <w:rPr>
          <w:rStyle w:val="citation-453"/>
          <w:b/>
          <w:bCs/>
          <w:rtl/>
        </w:rPr>
        <w:t>ما تميزت به</w:t>
      </w:r>
      <w:r>
        <w:rPr>
          <w:rStyle w:val="citation-453"/>
          <w:b/>
          <w:bCs/>
        </w:rPr>
        <w:t>:</w:t>
      </w:r>
      <w:r>
        <w:rPr>
          <w:rStyle w:val="citation-453"/>
        </w:rPr>
        <w:t xml:space="preserve"> </w:t>
      </w:r>
      <w:r>
        <w:rPr>
          <w:rStyle w:val="citation-453"/>
          <w:rtl/>
        </w:rPr>
        <w:t>تصنيفك للأدوات في المرحلة الثانية بناءً على أنواع التقييم (قبلي، تكويني، ختامي، إثراء) جاء دقيقاً للغاية ويتوافق مع أحدث الممارسات التقويمية الواقعية</w:t>
      </w:r>
      <w:r>
        <w:t xml:space="preserve">. </w:t>
      </w:r>
      <w:r>
        <w:rPr>
          <w:rStyle w:val="citation-452"/>
          <w:rtl/>
        </w:rPr>
        <w:t>تفطّنك لكون أداة</w:t>
      </w:r>
      <w:r>
        <w:rPr>
          <w:rStyle w:val="citation-452"/>
        </w:rPr>
        <w:t xml:space="preserve"> (</w:t>
      </w:r>
      <w:proofErr w:type="spellStart"/>
      <w:r>
        <w:rPr>
          <w:rStyle w:val="citation-452"/>
        </w:rPr>
        <w:t>Nearpod</w:t>
      </w:r>
      <w:proofErr w:type="spellEnd"/>
      <w:r>
        <w:rPr>
          <w:rStyle w:val="citation-452"/>
        </w:rPr>
        <w:t xml:space="preserve">) </w:t>
      </w:r>
      <w:r>
        <w:rPr>
          <w:rStyle w:val="citation-452"/>
          <w:rtl/>
        </w:rPr>
        <w:t>تجمع بين البُعدين القبلي والتكويني، واعتبارك</w:t>
      </w:r>
      <w:r>
        <w:rPr>
          <w:rStyle w:val="citation-452"/>
        </w:rPr>
        <w:t xml:space="preserve"> (YouTube) </w:t>
      </w:r>
      <w:r>
        <w:rPr>
          <w:rStyle w:val="citation-452"/>
          <w:rtl/>
        </w:rPr>
        <w:t>أداة إثرائية للتعلم المستدام بعد الدرس، يعكس عمق وعيك التربوي</w:t>
      </w:r>
      <w:r>
        <w:t xml:space="preserve">. </w:t>
      </w:r>
    </w:p>
    <w:p w:rsidR="004863EC" w:rsidRDefault="004863EC" w:rsidP="004863EC">
      <w:pPr>
        <w:pStyle w:val="NormalWeb"/>
        <w:numPr>
          <w:ilvl w:val="0"/>
          <w:numId w:val="4"/>
        </w:numPr>
        <w:bidi/>
      </w:pPr>
      <w:r>
        <w:rPr>
          <w:rStyle w:val="citation-451"/>
          <w:b/>
          <w:bCs/>
          <w:rtl/>
        </w:rPr>
        <w:lastRenderedPageBreak/>
        <w:t>الأثر التربوي</w:t>
      </w:r>
      <w:r>
        <w:rPr>
          <w:rStyle w:val="citation-451"/>
          <w:b/>
          <w:bCs/>
        </w:rPr>
        <w:t>:</w:t>
      </w:r>
      <w:r>
        <w:rPr>
          <w:rStyle w:val="citation-451"/>
        </w:rPr>
        <w:t xml:space="preserve"> </w:t>
      </w:r>
      <w:r>
        <w:rPr>
          <w:rStyle w:val="citation-451"/>
          <w:rtl/>
        </w:rPr>
        <w:t>يوضح هذا التصنيف تمكنك من مهارة "التقييم من أجل التعلم</w:t>
      </w:r>
      <w:r>
        <w:rPr>
          <w:rStyle w:val="citation-451"/>
        </w:rPr>
        <w:t>" (Assessment for Learning)</w:t>
      </w:r>
      <w:r>
        <w:rPr>
          <w:rStyle w:val="citation-451"/>
          <w:rtl/>
        </w:rPr>
        <w:t>، حيث يرافق التقييم الطالب في كل خطوة ولا يقتصر على نهاية الحصة فقط</w:t>
      </w:r>
      <w:r>
        <w:t xml:space="preserve">. </w:t>
      </w:r>
    </w:p>
    <w:p w:rsidR="004863EC" w:rsidRDefault="004863EC" w:rsidP="004863EC">
      <w:pPr>
        <w:pStyle w:val="Heading3"/>
        <w:bidi/>
      </w:pPr>
      <w:r>
        <w:t>4. الشمولية في الاستنتاج (الخلاصة)</w:t>
      </w:r>
    </w:p>
    <w:p w:rsidR="004863EC" w:rsidRDefault="004863EC" w:rsidP="004863EC">
      <w:pPr>
        <w:pStyle w:val="NormalWeb"/>
        <w:numPr>
          <w:ilvl w:val="0"/>
          <w:numId w:val="5"/>
        </w:numPr>
        <w:bidi/>
      </w:pPr>
      <w:r>
        <w:rPr>
          <w:rStyle w:val="citation-450"/>
          <w:b/>
          <w:bCs/>
          <w:rtl/>
        </w:rPr>
        <w:t>ما تميزت به</w:t>
      </w:r>
      <w:r>
        <w:rPr>
          <w:rStyle w:val="citation-450"/>
          <w:b/>
          <w:bCs/>
        </w:rPr>
        <w:t>:</w:t>
      </w:r>
      <w:r>
        <w:rPr>
          <w:rStyle w:val="citation-450"/>
        </w:rPr>
        <w:t xml:space="preserve"> </w:t>
      </w:r>
      <w:r>
        <w:rPr>
          <w:rStyle w:val="citation-450"/>
          <w:rtl/>
        </w:rPr>
        <w:t>لخصت مخرجات الدرس بذكاء كبير عندما ركزت على أن التنوع الرقمي لم يكن عشوائياً، بل حقق: تلبية احتياجات الأنماط المختلفة (بصري، سمعي، حركي)، ودعم التعلم الفردي والجماعي، وتحويل المفاهيم الجبرية المجردة إلى تمثيلات بصرية ملموسة</w:t>
      </w:r>
      <w:r>
        <w:t xml:space="preserve">. </w:t>
      </w:r>
    </w:p>
    <w:p w:rsidR="004863EC" w:rsidRDefault="004863EC" w:rsidP="004863EC">
      <w:pPr>
        <w:pStyle w:val="NormalWeb"/>
        <w:numPr>
          <w:ilvl w:val="0"/>
          <w:numId w:val="5"/>
        </w:numPr>
        <w:bidi/>
      </w:pPr>
      <w:r>
        <w:rPr>
          <w:rStyle w:val="citation-449"/>
          <w:b/>
          <w:bCs/>
          <w:rtl/>
        </w:rPr>
        <w:t>الأثر التربوي</w:t>
      </w:r>
      <w:r>
        <w:rPr>
          <w:rStyle w:val="citation-449"/>
          <w:b/>
          <w:bCs/>
        </w:rPr>
        <w:t>:</w:t>
      </w:r>
      <w:r>
        <w:rPr>
          <w:rStyle w:val="citation-449"/>
        </w:rPr>
        <w:t xml:space="preserve"> </w:t>
      </w:r>
      <w:r>
        <w:rPr>
          <w:rStyle w:val="citation-449"/>
          <w:rtl/>
        </w:rPr>
        <w:t>إن الربط بين "الجبر والتمثيل البصري" هو جوهر الكفاية التدريسية لمعلم الرياضيات الناجح، وقد استطعت إبرازه بجدارة في خلاصتك</w:t>
      </w:r>
      <w:r>
        <w:t xml:space="preserve">. </w:t>
      </w:r>
    </w:p>
    <w:p w:rsidR="004863EC" w:rsidRDefault="004863EC" w:rsidP="004863EC">
      <w:pPr>
        <w:pStyle w:val="NormalWeb"/>
        <w:bidi/>
      </w:pPr>
      <w:r>
        <w:rPr>
          <w:b/>
          <w:bCs/>
          <w:rtl/>
        </w:rPr>
        <w:t>كلمة من صديق</w:t>
      </w:r>
      <w:r>
        <w:rPr>
          <w:b/>
          <w:bCs/>
        </w:rPr>
        <w:t>:</w:t>
      </w:r>
      <w:r>
        <w:t xml:space="preserve"> </w:t>
      </w:r>
      <w:r>
        <w:rPr>
          <w:rtl/>
        </w:rPr>
        <w:t xml:space="preserve">إجابتك المكتوبة تعكس شخصية </w:t>
      </w:r>
      <w:r>
        <w:rPr>
          <w:b/>
          <w:bCs/>
        </w:rPr>
        <w:t>"</w:t>
      </w:r>
      <w:r>
        <w:rPr>
          <w:b/>
          <w:bCs/>
          <w:rtl/>
        </w:rPr>
        <w:t>معلم خبير وباحث متمكن</w:t>
      </w:r>
      <w:r>
        <w:rPr>
          <w:b/>
          <w:bCs/>
        </w:rPr>
        <w:t>"</w:t>
      </w:r>
      <w:r>
        <w:t xml:space="preserve"> </w:t>
      </w:r>
      <w:r>
        <w:rPr>
          <w:rtl/>
        </w:rPr>
        <w:t>يمتلك الأدوات البيداغوجية الحديثة</w:t>
      </w:r>
      <w:r>
        <w:t xml:space="preserve">. </w:t>
      </w:r>
      <w:r>
        <w:rPr>
          <w:rStyle w:val="citation-448"/>
          <w:rtl/>
        </w:rPr>
        <w:t>لقد قدمت عملاً متكاملاً، شاملاً، وملتزماً تماماً بمعطيات المادة العلمية الصادرة عن أكاديمية الملكة رانيا لتدريب المعلمين</w:t>
      </w:r>
      <w:r>
        <w:t xml:space="preserve">. </w:t>
      </w:r>
      <w:r>
        <w:rPr>
          <w:rtl/>
        </w:rPr>
        <w:t>يمكنك فخراً تسليم هذا العمل وأنت مطمئن لتمشيه مع أعلى المعايير</w:t>
      </w:r>
      <w:r>
        <w:t xml:space="preserve">. </w:t>
      </w:r>
    </w:p>
    <w:p w:rsidR="008233D3" w:rsidRDefault="004863EC" w:rsidP="004863EC">
      <w:pPr>
        <w:pStyle w:val="NormalWeb"/>
        <w:bidi/>
      </w:pPr>
      <w:r>
        <w:rPr>
          <w:rtl/>
        </w:rPr>
        <w:t>أتمنى لك كل التوفيق والتميز دائماً يا زميلي العزيز</w:t>
      </w:r>
      <w:r>
        <w:rPr>
          <w:rFonts w:hint="cs"/>
          <w:rtl/>
        </w:rPr>
        <w:t>.</w:t>
      </w:r>
    </w:p>
    <w:sectPr w:rsidR="008233D3">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E434D"/>
    <w:multiLevelType w:val="multilevel"/>
    <w:tmpl w:val="3D847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286E14"/>
    <w:multiLevelType w:val="multilevel"/>
    <w:tmpl w:val="9182D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1F3E14"/>
    <w:multiLevelType w:val="multilevel"/>
    <w:tmpl w:val="743EF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1D416F"/>
    <w:multiLevelType w:val="multilevel"/>
    <w:tmpl w:val="F52E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735EA5"/>
    <w:multiLevelType w:val="hybridMultilevel"/>
    <w:tmpl w:val="71927264"/>
    <w:lvl w:ilvl="0" w:tplc="E5E4E978">
      <w:start w:val="1"/>
      <w:numFmt w:val="bullet"/>
      <w:lvlText w:val="●"/>
      <w:lvlJc w:val="left"/>
      <w:pPr>
        <w:ind w:left="720" w:hanging="360"/>
      </w:pPr>
    </w:lvl>
    <w:lvl w:ilvl="1" w:tplc="489613F0">
      <w:start w:val="1"/>
      <w:numFmt w:val="bullet"/>
      <w:lvlText w:val="○"/>
      <w:lvlJc w:val="left"/>
      <w:pPr>
        <w:ind w:left="1440" w:hanging="360"/>
      </w:pPr>
    </w:lvl>
    <w:lvl w:ilvl="2" w:tplc="4B661B30">
      <w:start w:val="1"/>
      <w:numFmt w:val="bullet"/>
      <w:lvlText w:val="■"/>
      <w:lvlJc w:val="left"/>
      <w:pPr>
        <w:ind w:left="2160" w:hanging="360"/>
      </w:pPr>
    </w:lvl>
    <w:lvl w:ilvl="3" w:tplc="5AE8F0D8">
      <w:start w:val="1"/>
      <w:numFmt w:val="bullet"/>
      <w:lvlText w:val="●"/>
      <w:lvlJc w:val="left"/>
      <w:pPr>
        <w:ind w:left="2880" w:hanging="360"/>
      </w:pPr>
    </w:lvl>
    <w:lvl w:ilvl="4" w:tplc="33021B98">
      <w:start w:val="1"/>
      <w:numFmt w:val="bullet"/>
      <w:lvlText w:val="○"/>
      <w:lvlJc w:val="left"/>
      <w:pPr>
        <w:ind w:left="3600" w:hanging="360"/>
      </w:pPr>
    </w:lvl>
    <w:lvl w:ilvl="5" w:tplc="D9481AE8">
      <w:start w:val="1"/>
      <w:numFmt w:val="bullet"/>
      <w:lvlText w:val="■"/>
      <w:lvlJc w:val="left"/>
      <w:pPr>
        <w:ind w:left="4320" w:hanging="360"/>
      </w:pPr>
    </w:lvl>
    <w:lvl w:ilvl="6" w:tplc="A584550E">
      <w:start w:val="1"/>
      <w:numFmt w:val="bullet"/>
      <w:lvlText w:val="●"/>
      <w:lvlJc w:val="left"/>
      <w:pPr>
        <w:ind w:left="5040" w:hanging="360"/>
      </w:pPr>
    </w:lvl>
    <w:lvl w:ilvl="7" w:tplc="72826074">
      <w:start w:val="1"/>
      <w:numFmt w:val="bullet"/>
      <w:lvlText w:val="●"/>
      <w:lvlJc w:val="left"/>
      <w:pPr>
        <w:ind w:left="5760" w:hanging="360"/>
      </w:pPr>
    </w:lvl>
    <w:lvl w:ilvl="8" w:tplc="A502CA12">
      <w:start w:val="1"/>
      <w:numFmt w:val="bullet"/>
      <w:lvlText w:val="●"/>
      <w:lvlJc w:val="left"/>
      <w:pPr>
        <w:ind w:left="6480" w:hanging="360"/>
      </w:pPr>
    </w:lvl>
  </w:abstractNum>
  <w:num w:numId="1">
    <w:abstractNumId w:val="4"/>
    <w:lvlOverride w:ilvl="0">
      <w:startOverride w:val="1"/>
    </w:lvlOverride>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3D3"/>
    <w:rsid w:val="004863EC"/>
    <w:rsid w:val="008233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CEF2A"/>
  <w15:docId w15:val="{D6D5AFE1-BA00-426C-8A1A-258BAFC6E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rt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qFormat/>
    <w:pPr>
      <w:spacing w:before="240" w:after="240"/>
      <w:jc w:val="right"/>
      <w:outlineLvl w:val="0"/>
    </w:pPr>
    <w:rPr>
      <w:b/>
      <w:bCs/>
      <w:sz w:val="32"/>
      <w:szCs w:val="32"/>
    </w:rPr>
  </w:style>
  <w:style w:type="paragraph" w:styleId="Heading2">
    <w:name w:val="heading 2"/>
    <w:qFormat/>
    <w:pPr>
      <w:spacing w:before="180" w:after="180"/>
      <w:jc w:val="right"/>
      <w:outlineLvl w:val="1"/>
    </w:pPr>
    <w:rPr>
      <w:b/>
      <w:bCs/>
      <w:sz w:val="28"/>
      <w:szCs w:val="28"/>
    </w:rPr>
  </w:style>
  <w:style w:type="paragraph" w:styleId="Heading3">
    <w:name w:val="heading 3"/>
    <w:qFormat/>
    <w:pPr>
      <w:outlineLvl w:val="2"/>
    </w:pPr>
    <w:rPr>
      <w:color w:val="1F4D78"/>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NormalWeb">
    <w:name w:val="Normal (Web)"/>
    <w:basedOn w:val="Normal"/>
    <w:uiPriority w:val="99"/>
    <w:unhideWhenUsed/>
    <w:rsid w:val="004863EC"/>
    <w:pPr>
      <w:bidi w:val="0"/>
      <w:spacing w:before="100" w:beforeAutospacing="1" w:after="100" w:afterAutospacing="1"/>
    </w:pPr>
    <w:rPr>
      <w:rFonts w:ascii="Times New Roman" w:eastAsia="Times New Roman" w:hAnsi="Times New Roman" w:cs="Times New Roman"/>
      <w:rtl w:val="0"/>
    </w:rPr>
  </w:style>
  <w:style w:type="character" w:customStyle="1" w:styleId="citation-458">
    <w:name w:val="citation-458"/>
    <w:basedOn w:val="DefaultParagraphFont"/>
    <w:rsid w:val="004863EC"/>
  </w:style>
  <w:style w:type="character" w:customStyle="1" w:styleId="citation-457">
    <w:name w:val="citation-457"/>
    <w:basedOn w:val="DefaultParagraphFont"/>
    <w:rsid w:val="004863EC"/>
  </w:style>
  <w:style w:type="character" w:customStyle="1" w:styleId="citation-456">
    <w:name w:val="citation-456"/>
    <w:basedOn w:val="DefaultParagraphFont"/>
    <w:rsid w:val="004863EC"/>
  </w:style>
  <w:style w:type="character" w:customStyle="1" w:styleId="citation-455">
    <w:name w:val="citation-455"/>
    <w:basedOn w:val="DefaultParagraphFont"/>
    <w:rsid w:val="004863EC"/>
  </w:style>
  <w:style w:type="character" w:customStyle="1" w:styleId="citation-454">
    <w:name w:val="citation-454"/>
    <w:basedOn w:val="DefaultParagraphFont"/>
    <w:rsid w:val="004863EC"/>
  </w:style>
  <w:style w:type="character" w:customStyle="1" w:styleId="citation-453">
    <w:name w:val="citation-453"/>
    <w:basedOn w:val="DefaultParagraphFont"/>
    <w:rsid w:val="004863EC"/>
  </w:style>
  <w:style w:type="character" w:customStyle="1" w:styleId="citation-452">
    <w:name w:val="citation-452"/>
    <w:basedOn w:val="DefaultParagraphFont"/>
    <w:rsid w:val="004863EC"/>
  </w:style>
  <w:style w:type="character" w:customStyle="1" w:styleId="citation-451">
    <w:name w:val="citation-451"/>
    <w:basedOn w:val="DefaultParagraphFont"/>
    <w:rsid w:val="004863EC"/>
  </w:style>
  <w:style w:type="character" w:customStyle="1" w:styleId="citation-450">
    <w:name w:val="citation-450"/>
    <w:basedOn w:val="DefaultParagraphFont"/>
    <w:rsid w:val="004863EC"/>
  </w:style>
  <w:style w:type="character" w:customStyle="1" w:styleId="citation-449">
    <w:name w:val="citation-449"/>
    <w:basedOn w:val="DefaultParagraphFont"/>
    <w:rsid w:val="004863EC"/>
  </w:style>
  <w:style w:type="character" w:customStyle="1" w:styleId="citation-448">
    <w:name w:val="citation-448"/>
    <w:basedOn w:val="DefaultParagraphFont"/>
    <w:rsid w:val="004863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03809">
      <w:bodyDiv w:val="1"/>
      <w:marLeft w:val="0"/>
      <w:marRight w:val="0"/>
      <w:marTop w:val="0"/>
      <w:marBottom w:val="0"/>
      <w:divBdr>
        <w:top w:val="none" w:sz="0" w:space="0" w:color="auto"/>
        <w:left w:val="none" w:sz="0" w:space="0" w:color="auto"/>
        <w:bottom w:val="none" w:sz="0" w:space="0" w:color="auto"/>
        <w:right w:val="none" w:sz="0" w:space="0" w:color="auto"/>
      </w:divBdr>
      <w:divsChild>
        <w:div w:id="2111778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848</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Maher</cp:lastModifiedBy>
  <cp:revision>2</cp:revision>
  <dcterms:created xsi:type="dcterms:W3CDTF">2026-05-22T12:11:00Z</dcterms:created>
  <dcterms:modified xsi:type="dcterms:W3CDTF">2026-05-22T12:11:00Z</dcterms:modified>
</cp:coreProperties>
</file>